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pStyle w:val="2"/>
        <w:spacing w:line="1200" w:lineRule="exact"/>
        <w:rPr>
          <w:sz w:val="52"/>
        </w:rPr>
      </w:pPr>
    </w:p>
    <w:p>
      <w:pPr>
        <w:pStyle w:val="2"/>
        <w:spacing w:line="1200" w:lineRule="exact"/>
        <w:jc w:val="center"/>
        <w:rPr>
          <w:sz w:val="52"/>
        </w:rPr>
      </w:pPr>
      <w:r>
        <w:rPr>
          <w:rFonts w:hint="eastAsia"/>
          <w:sz w:val="44"/>
          <w:szCs w:val="44"/>
          <w:lang w:eastAsia="zh-CN"/>
        </w:rPr>
        <w:t>202</w:t>
      </w:r>
      <w:r>
        <w:rPr>
          <w:rFonts w:hint="eastAsia"/>
          <w:sz w:val="44"/>
          <w:szCs w:val="44"/>
          <w:lang w:val="en-US" w:eastAsia="zh-CN"/>
        </w:rPr>
        <w:t>1</w:t>
      </w:r>
      <w:r>
        <w:rPr>
          <w:rFonts w:hint="eastAsia"/>
          <w:sz w:val="44"/>
          <w:szCs w:val="44"/>
          <w:lang w:eastAsia="zh-CN"/>
        </w:rPr>
        <w:t>年度安溪分公司恒大御景 （5#1F）接入机房建设工程</w:t>
      </w:r>
      <w:r>
        <w:rPr>
          <w:rFonts w:hint="eastAsia"/>
          <w:sz w:val="44"/>
          <w:szCs w:val="44"/>
        </w:rPr>
        <w:t>设计说明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sz w:val="28"/>
        </w:rPr>
      </w:pPr>
    </w:p>
    <w:p>
      <w:pPr>
        <w:spacing w:line="460" w:lineRule="exact"/>
        <w:jc w:val="center"/>
        <w:rPr>
          <w:rFonts w:eastAsia="黑体"/>
          <w:b/>
          <w:bCs/>
          <w:sz w:val="32"/>
        </w:rPr>
      </w:pPr>
    </w:p>
    <w:p>
      <w:pPr>
        <w:spacing w:line="700" w:lineRule="exact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福建广电网络实业发展有限公司</w:t>
      </w:r>
    </w:p>
    <w:p>
      <w:pPr>
        <w:spacing w:line="700" w:lineRule="exact"/>
        <w:jc w:val="center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二O</w:t>
      </w:r>
      <w:r>
        <w:rPr>
          <w:rFonts w:hint="eastAsia" w:eastAsia="黑体"/>
          <w:b/>
          <w:bCs/>
          <w:sz w:val="32"/>
          <w:lang w:val="en-US" w:eastAsia="zh-CN"/>
        </w:rPr>
        <w:t>二</w:t>
      </w:r>
      <w:r>
        <w:rPr>
          <w:rFonts w:hint="eastAsia" w:eastAsia="黑体"/>
          <w:b/>
          <w:bCs/>
          <w:sz w:val="32"/>
        </w:rPr>
        <w:t>O年</w:t>
      </w:r>
      <w:r>
        <w:rPr>
          <w:rFonts w:hint="eastAsia" w:eastAsia="黑体"/>
          <w:b/>
          <w:bCs/>
          <w:sz w:val="32"/>
          <w:lang w:eastAsia="zh-CN"/>
        </w:rPr>
        <w:t>五</w:t>
      </w:r>
      <w:r>
        <w:rPr>
          <w:rFonts w:hint="eastAsia" w:eastAsia="黑体"/>
          <w:b/>
          <w:bCs/>
          <w:sz w:val="32"/>
        </w:rPr>
        <w:t>月</w:t>
      </w:r>
    </w:p>
    <w:p>
      <w:pPr>
        <w:spacing w:line="700" w:lineRule="exact"/>
        <w:jc w:val="center"/>
        <w:outlineLvl w:val="0"/>
        <w:rPr>
          <w:rFonts w:eastAsia="黑体"/>
          <w:b/>
          <w:bCs/>
          <w:sz w:val="32"/>
        </w:rPr>
      </w:pPr>
      <w:r>
        <w:rPr>
          <w:rFonts w:eastAsia="黑体"/>
          <w:b/>
          <w:bCs/>
          <w:sz w:val="32"/>
        </w:rPr>
        <w:br w:type="page"/>
      </w:r>
      <w:r>
        <w:rPr>
          <w:rFonts w:hint="eastAsia" w:eastAsia="黑体"/>
          <w:b/>
          <w:bCs/>
          <w:sz w:val="32"/>
        </w:rPr>
        <w:t>目录</w:t>
      </w:r>
    </w:p>
    <w:p>
      <w:pPr>
        <w:spacing w:line="600" w:lineRule="exact"/>
        <w:jc w:val="center"/>
        <w:rPr>
          <w:rFonts w:eastAsia="黑体"/>
          <w:b/>
          <w:bCs/>
          <w:sz w:val="32"/>
        </w:rPr>
      </w:pPr>
    </w:p>
    <w:p>
      <w:pPr>
        <w:numPr>
          <w:ilvl w:val="0"/>
          <w:numId w:val="1"/>
        </w:numPr>
        <w:spacing w:line="600" w:lineRule="exact"/>
        <w:rPr>
          <w:rFonts w:eastAsia="黑体"/>
          <w:sz w:val="28"/>
        </w:rPr>
      </w:pPr>
      <w:r>
        <w:rPr>
          <w:rFonts w:hint="eastAsia" w:eastAsia="黑体"/>
          <w:sz w:val="28"/>
        </w:rPr>
        <w:t>总体设计说明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sz w:val="28"/>
        </w:rPr>
        <w:t>工程概述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sz w:val="28"/>
        </w:rPr>
        <w:t>设计依据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bCs/>
          <w:sz w:val="28"/>
        </w:rPr>
        <w:t>设计思路与要点</w:t>
      </w:r>
    </w:p>
    <w:p>
      <w:pPr>
        <w:numPr>
          <w:ilvl w:val="0"/>
          <w:numId w:val="2"/>
        </w:numPr>
        <w:spacing w:line="600" w:lineRule="exact"/>
        <w:ind w:hanging="699"/>
        <w:rPr>
          <w:bCs/>
          <w:sz w:val="28"/>
        </w:rPr>
      </w:pPr>
      <w:r>
        <w:rPr>
          <w:rFonts w:hint="eastAsia"/>
          <w:bCs/>
          <w:sz w:val="28"/>
        </w:rPr>
        <w:t>布线设计</w:t>
      </w:r>
    </w:p>
    <w:p>
      <w:pPr>
        <w:numPr>
          <w:ilvl w:val="0"/>
          <w:numId w:val="2"/>
        </w:numPr>
        <w:spacing w:line="600" w:lineRule="exact"/>
        <w:ind w:hanging="699"/>
        <w:rPr>
          <w:bCs/>
          <w:sz w:val="28"/>
        </w:rPr>
      </w:pPr>
      <w:r>
        <w:rPr>
          <w:rFonts w:hint="eastAsia"/>
          <w:bCs/>
          <w:sz w:val="28"/>
        </w:rPr>
        <w:t>电气设计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bCs/>
          <w:sz w:val="28"/>
        </w:rPr>
        <w:t>空调设计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sz w:val="28"/>
          <w:lang w:eastAsia="zh-CN"/>
        </w:rPr>
        <w:t>监控设计</w:t>
      </w:r>
    </w:p>
    <w:p>
      <w:pPr>
        <w:numPr>
          <w:ilvl w:val="0"/>
          <w:numId w:val="2"/>
        </w:numPr>
        <w:spacing w:line="600" w:lineRule="exact"/>
        <w:ind w:hanging="699"/>
        <w:rPr>
          <w:sz w:val="28"/>
        </w:rPr>
      </w:pPr>
      <w:r>
        <w:rPr>
          <w:rFonts w:hint="eastAsia"/>
          <w:bCs/>
          <w:sz w:val="28"/>
        </w:rPr>
        <w:t>消防设计</w:t>
      </w:r>
    </w:p>
    <w:p>
      <w:pPr>
        <w:spacing w:line="600" w:lineRule="exact"/>
        <w:ind w:left="426"/>
        <w:rPr>
          <w:sz w:val="28"/>
        </w:rPr>
      </w:pPr>
    </w:p>
    <w:p>
      <w:pPr>
        <w:spacing w:line="460" w:lineRule="exact"/>
        <w:rPr>
          <w:sz w:val="24"/>
        </w:rPr>
      </w:pPr>
    </w:p>
    <w:p>
      <w:pPr>
        <w:spacing w:line="45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>
      <w:pPr>
        <w:numPr>
          <w:ilvl w:val="1"/>
          <w:numId w:val="2"/>
        </w:numPr>
        <w:spacing w:line="500" w:lineRule="exact"/>
        <w:jc w:val="center"/>
        <w:outlineLvl w:val="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总体设计说明</w:t>
      </w:r>
    </w:p>
    <w:p>
      <w:pPr>
        <w:spacing w:line="500" w:lineRule="exact"/>
        <w:ind w:left="420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工程概述</w:t>
      </w:r>
    </w:p>
    <w:p>
      <w:pPr>
        <w:snapToGrid w:val="0"/>
        <w:spacing w:line="500" w:lineRule="atLeas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本工程为</w:t>
      </w:r>
      <w:r>
        <w:rPr>
          <w:rFonts w:hint="eastAsia"/>
          <w:sz w:val="24"/>
          <w:lang w:eastAsia="zh-CN"/>
        </w:rPr>
        <w:t>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  <w:lang w:eastAsia="zh-CN"/>
        </w:rPr>
        <w:t>年度安溪分公司恒大御景 （5#1F）接入机房建设工程</w:t>
      </w:r>
      <w:r>
        <w:rPr>
          <w:rFonts w:hint="eastAsia"/>
          <w:sz w:val="24"/>
        </w:rPr>
        <w:t>，机房位于安溪县恒大御景 5#一层，机房面积22平方</w:t>
      </w:r>
      <w:r>
        <w:rPr>
          <w:rFonts w:hint="eastAsia"/>
          <w:sz w:val="24"/>
          <w:lang w:eastAsia="zh-CN"/>
        </w:rPr>
        <w:t>米</w:t>
      </w:r>
      <w:r>
        <w:rPr>
          <w:rFonts w:hint="eastAsia"/>
          <w:sz w:val="24"/>
        </w:rPr>
        <w:t xml:space="preserve">。 </w:t>
      </w:r>
    </w:p>
    <w:p>
      <w:pPr>
        <w:snapToGrid w:val="0"/>
        <w:spacing w:line="500" w:lineRule="atLeast"/>
        <w:ind w:firstLine="480" w:firstLineChars="200"/>
        <w:rPr>
          <w:b/>
          <w:bCs/>
          <w:sz w:val="28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b/>
          <w:bCs/>
          <w:sz w:val="28"/>
        </w:rPr>
        <w:t xml:space="preserve">                                   </w:t>
      </w: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设计依据</w:t>
      </w:r>
    </w:p>
    <w:p>
      <w:pPr>
        <w:spacing w:line="500" w:lineRule="exact"/>
        <w:rPr>
          <w:b/>
          <w:bCs/>
          <w:sz w:val="28"/>
        </w:rPr>
      </w:pP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  <w:lang w:eastAsia="zh-CN"/>
        </w:rPr>
        <w:t>数据中心</w:t>
      </w:r>
      <w:r>
        <w:rPr>
          <w:rFonts w:hint="eastAsia"/>
          <w:sz w:val="24"/>
        </w:rPr>
        <w:t>设计规范》GB50174-20</w:t>
      </w:r>
      <w:r>
        <w:rPr>
          <w:rFonts w:hint="eastAsia"/>
          <w:sz w:val="24"/>
          <w:lang w:val="en-US" w:eastAsia="zh-CN"/>
        </w:rPr>
        <w:t>17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  <w:lang w:eastAsia="zh-CN"/>
        </w:rPr>
        <w:t>数据中心基础设施</w:t>
      </w:r>
      <w:r>
        <w:rPr>
          <w:rFonts w:hint="eastAsia"/>
          <w:sz w:val="24"/>
        </w:rPr>
        <w:t>施工及验收规范》GB50462-20</w:t>
      </w:r>
      <w:r>
        <w:rPr>
          <w:rFonts w:hint="eastAsia"/>
          <w:sz w:val="24"/>
          <w:lang w:val="en-US" w:eastAsia="zh-CN"/>
        </w:rPr>
        <w:t>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《电子计算机场地通用规范》GB/T2887-2011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《通信局（站）电源系统总技术要求》YD/T1051-2010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《通信电源设备安装设计规范》YD5040-2005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《建筑物防雷设计规范》GB50057-2010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《建筑物电子信息系统防雷技术规范》GB50343-2012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《建筑设计防火规范》GB50016-2014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《通讯设备安装抗震设计规范》YD5059-2005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《广播电影电视工程技术用房照明设计规范》GY/T5061-20</w:t>
      </w:r>
      <w:r>
        <w:rPr>
          <w:rFonts w:hint="eastAsia"/>
          <w:sz w:val="24"/>
          <w:lang w:val="en-US" w:eastAsia="zh-CN"/>
        </w:rPr>
        <w:t>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《工业企业照明设计标准》GB50034-2013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《综合布线验收规范》GB50312-2007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《计算机机房用抗静电活动地板技术条件》SJ/T10796-2001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《安全防范工程</w:t>
      </w:r>
      <w:r>
        <w:rPr>
          <w:rFonts w:hint="eastAsia"/>
          <w:sz w:val="24"/>
          <w:lang w:eastAsia="zh-CN"/>
        </w:rPr>
        <w:t>技术规范</w:t>
      </w:r>
      <w:r>
        <w:rPr>
          <w:rFonts w:hint="eastAsia"/>
          <w:sz w:val="24"/>
        </w:rPr>
        <w:t>》</w:t>
      </w:r>
      <w:r>
        <w:rPr>
          <w:rFonts w:hint="eastAsia"/>
          <w:sz w:val="24"/>
          <w:lang w:val="en-US" w:eastAsia="zh-CN"/>
        </w:rPr>
        <w:t>GB50348-2018</w:t>
      </w:r>
    </w:p>
    <w:p>
      <w:pPr>
        <w:spacing w:line="5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《建筑玻璃应用技术规</w:t>
      </w:r>
      <w:r>
        <w:rPr>
          <w:rFonts w:hint="eastAsia"/>
          <w:sz w:val="24"/>
          <w:lang w:eastAsia="zh-CN"/>
        </w:rPr>
        <w:t>程</w:t>
      </w:r>
      <w:r>
        <w:rPr>
          <w:rFonts w:hint="eastAsia"/>
          <w:sz w:val="24"/>
        </w:rPr>
        <w:t>》</w:t>
      </w:r>
      <w:r>
        <w:rPr>
          <w:rFonts w:hint="eastAsia"/>
          <w:sz w:val="24"/>
          <w:lang w:val="en-US" w:eastAsia="zh-CN"/>
        </w:rPr>
        <w:t>JGJ</w:t>
      </w:r>
      <w:r>
        <w:rPr>
          <w:rFonts w:hint="eastAsia"/>
          <w:sz w:val="24"/>
        </w:rPr>
        <w:t>113-</w:t>
      </w:r>
      <w:r>
        <w:rPr>
          <w:rFonts w:hint="eastAsia"/>
          <w:sz w:val="24"/>
          <w:lang w:val="en-US" w:eastAsia="zh-CN"/>
        </w:rPr>
        <w:t>2015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《有线电视网络工程施工及验收规范》GY5073-2005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《市、县广播数字电视网设计规范》GY5063-1998</w:t>
      </w:r>
    </w:p>
    <w:p>
      <w:pPr>
        <w:tabs>
          <w:tab w:val="left" w:pos="540"/>
        </w:tabs>
        <w:spacing w:line="500" w:lineRule="exact"/>
        <w:ind w:firstLine="120" w:firstLineChars="50"/>
        <w:rPr>
          <w:sz w:val="24"/>
        </w:rPr>
      </w:pPr>
      <w:r>
        <w:rPr>
          <w:rFonts w:hint="eastAsia"/>
          <w:sz w:val="24"/>
        </w:rPr>
        <w:t>设计人员现场勘查获得的基础资料</w:t>
      </w:r>
    </w:p>
    <w:p>
      <w:pPr>
        <w:tabs>
          <w:tab w:val="left" w:pos="540"/>
        </w:tabs>
        <w:spacing w:line="500" w:lineRule="exact"/>
        <w:ind w:firstLine="120" w:firstLineChars="50"/>
        <w:rPr>
          <w:rFonts w:hint="eastAsia"/>
          <w:sz w:val="24"/>
        </w:rPr>
      </w:pPr>
      <w:r>
        <w:rPr>
          <w:rFonts w:hint="eastAsia"/>
          <w:sz w:val="24"/>
        </w:rPr>
        <w:t>设计过程中的</w:t>
      </w:r>
      <w:r>
        <w:rPr>
          <w:rFonts w:hint="eastAsia"/>
          <w:sz w:val="24"/>
          <w:lang w:eastAsia="zh-CN"/>
        </w:rPr>
        <w:t>安溪</w:t>
      </w:r>
      <w:r>
        <w:rPr>
          <w:rFonts w:hint="eastAsia"/>
          <w:sz w:val="24"/>
        </w:rPr>
        <w:t>分公司对机房建设的具体要求及修改意见</w:t>
      </w:r>
    </w:p>
    <w:p>
      <w:pPr>
        <w:tabs>
          <w:tab w:val="left" w:pos="540"/>
        </w:tabs>
        <w:spacing w:line="500" w:lineRule="exact"/>
        <w:ind w:firstLine="120" w:firstLineChars="50"/>
        <w:rPr>
          <w:rFonts w:hint="eastAsia"/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设计思路与要点</w:t>
      </w:r>
    </w:p>
    <w:p>
      <w:pPr>
        <w:spacing w:line="500" w:lineRule="exact"/>
        <w:ind w:firstLine="435"/>
        <w:rPr>
          <w:sz w:val="24"/>
        </w:rPr>
      </w:pP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1. 设计思路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  <w:lang w:eastAsia="zh-CN"/>
        </w:rPr>
        <w:t>安溪分公司恒大御景 （5#1F）接入机房</w:t>
      </w:r>
      <w:r>
        <w:rPr>
          <w:rFonts w:hint="eastAsia"/>
          <w:sz w:val="24"/>
        </w:rPr>
        <w:t>规划设计的思路：建造一个布局合理、电气稳定、安全可靠、绿色节能、适应未来发展的广播电视传输机房。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  <w:lang w:eastAsia="zh-CN"/>
        </w:rPr>
        <w:t>安溪分公司恒大御景 （5#1F）接入机房</w:t>
      </w:r>
      <w:r>
        <w:rPr>
          <w:rFonts w:hint="eastAsia"/>
          <w:sz w:val="24"/>
        </w:rPr>
        <w:t>总体规划：根据机房的环境和空间大小，将传输机柜和电源设备分区域放置，合理布局。</w:t>
      </w:r>
    </w:p>
    <w:p>
      <w:pPr>
        <w:spacing w:line="500" w:lineRule="exact"/>
        <w:ind w:firstLine="435"/>
        <w:rPr>
          <w:sz w:val="24"/>
        </w:rPr>
      </w:pPr>
      <w:r>
        <w:rPr>
          <w:rFonts w:hint="eastAsia"/>
          <w:sz w:val="24"/>
        </w:rPr>
        <w:t>机房平面布局，主要考虑电子设备对环境的要求、信号处理的工艺流程、操作人员的行走路线、设备及设施的合理间距、抗震防护等级、电源系统稳定可靠要求、空调设备对机柜设备制冷效果、电子设备对环境的洁净度要求、动力环境监控内容选择等诸多因素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2. 设计要点：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（1）装修：整洁、防尘、隔热、防水、防鼠、防盗。选用环保、无害、易清洁、防电磁干扰、防火等耐用材料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（2）布线：机柜布局、桥架线槽安装、线路保护、工艺布线。选用质量可靠的产品。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（3）电气：用电功率计算、供电线路配置、UPS主机和应急发电机配置、防电源浪涌保护、接地线路引入、安全保护接地。选用质量稳定可靠、合格许可的电气产品。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（4）空调：冷量计算、空调形式、气流组织、节能降耗。选用稳定可靠的商用空调。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（5）动环监控：监控内容、系统搭建、系统兼容。选用通用性强的知名品牌产品。</w:t>
      </w:r>
    </w:p>
    <w:p>
      <w:pPr>
        <w:spacing w:line="500" w:lineRule="exact"/>
        <w:ind w:firstLine="435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）消防：报警系统、自动气体灭火系统、手动灭火器。根据机房实际需要，合理配置消防设施。</w:t>
      </w:r>
    </w:p>
    <w:p>
      <w:pPr>
        <w:spacing w:line="500" w:lineRule="exact"/>
        <w:ind w:firstLine="435"/>
        <w:rPr>
          <w:rFonts w:hint="eastAsia"/>
          <w:sz w:val="24"/>
        </w:rPr>
      </w:pPr>
    </w:p>
    <w:p>
      <w:pPr>
        <w:spacing w:line="500" w:lineRule="exact"/>
        <w:ind w:firstLine="435"/>
        <w:rPr>
          <w:rFonts w:hint="eastAsia"/>
          <w:sz w:val="24"/>
        </w:rPr>
      </w:pPr>
    </w:p>
    <w:p>
      <w:pPr>
        <w:spacing w:line="500" w:lineRule="exact"/>
        <w:ind w:firstLine="435"/>
        <w:rPr>
          <w:rFonts w:hint="eastAsia"/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布线设计</w:t>
      </w:r>
    </w:p>
    <w:p>
      <w:pPr>
        <w:spacing w:line="500" w:lineRule="exact"/>
        <w:rPr>
          <w:b/>
          <w:bCs/>
          <w:sz w:val="28"/>
        </w:rPr>
      </w:pPr>
    </w:p>
    <w:p>
      <w:pPr>
        <w:numPr>
          <w:ilvl w:val="0"/>
          <w:numId w:val="4"/>
        </w:num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机柜、ODF架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eastAsia="zh-CN"/>
        </w:rPr>
        <w:t>机房</w:t>
      </w:r>
      <w:r>
        <w:rPr>
          <w:rFonts w:hint="eastAsia"/>
          <w:sz w:val="24"/>
        </w:rPr>
        <w:t>配置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个传输机柜，规格</w:t>
      </w:r>
      <w:r>
        <w:rPr>
          <w:sz w:val="24"/>
        </w:rPr>
        <w:t>600*</w:t>
      </w:r>
      <w:r>
        <w:rPr>
          <w:rFonts w:hint="eastAsia"/>
          <w:sz w:val="24"/>
          <w:lang w:val="en-US" w:eastAsia="zh-CN"/>
        </w:rPr>
        <w:t>8</w:t>
      </w:r>
      <w:r>
        <w:rPr>
          <w:sz w:val="24"/>
        </w:rPr>
        <w:t>00*2</w:t>
      </w:r>
      <w:r>
        <w:rPr>
          <w:rFonts w:hint="eastAsia"/>
          <w:sz w:val="24"/>
          <w:lang w:val="en-US" w:eastAsia="zh-CN"/>
        </w:rPr>
        <w:t>0</w:t>
      </w:r>
      <w:r>
        <w:rPr>
          <w:sz w:val="24"/>
        </w:rPr>
        <w:t>00</w:t>
      </w:r>
      <w:r>
        <w:rPr>
          <w:rFonts w:hint="eastAsia"/>
          <w:sz w:val="24"/>
        </w:rPr>
        <w:t xml:space="preserve"> mm机柜。传输机柜内配置两路</w:t>
      </w:r>
      <w:r>
        <w:rPr>
          <w:rFonts w:hint="eastAsia"/>
          <w:sz w:val="24"/>
          <w:lang w:val="en-US" w:eastAsia="zh-CN"/>
        </w:rPr>
        <w:t>16</w:t>
      </w:r>
      <w:r>
        <w:rPr>
          <w:rFonts w:hint="eastAsia"/>
          <w:sz w:val="24"/>
        </w:rPr>
        <w:t>A电源插排，每路PDU要求插口</w:t>
      </w:r>
      <w:r>
        <w:rPr>
          <w:rFonts w:hint="eastAsia"/>
          <w:sz w:val="24"/>
          <w:lang w:eastAsia="zh-CN"/>
        </w:rPr>
        <w:t>数不少于</w:t>
      </w:r>
      <w:r>
        <w:rPr>
          <w:rFonts w:hint="eastAsia"/>
          <w:sz w:val="24"/>
          <w:lang w:val="en-US" w:eastAsia="zh-CN"/>
        </w:rPr>
        <w:t>16个</w:t>
      </w:r>
      <w:r>
        <w:rPr>
          <w:rFonts w:hint="eastAsia"/>
          <w:sz w:val="24"/>
        </w:rPr>
        <w:t>且有</w:t>
      </w:r>
      <w:r>
        <w:rPr>
          <w:rFonts w:hint="eastAsia"/>
          <w:sz w:val="24"/>
          <w:lang w:val="en-US" w:eastAsia="zh-CN"/>
        </w:rPr>
        <w:t>2个以上</w:t>
      </w:r>
      <w:r>
        <w:rPr>
          <w:rFonts w:hint="eastAsia"/>
          <w:sz w:val="24"/>
        </w:rPr>
        <w:t>16A插口。</w:t>
      </w:r>
    </w:p>
    <w:p>
      <w:pPr>
        <w:spacing w:line="500" w:lineRule="exact"/>
        <w:ind w:firstLine="480" w:firstLineChars="200"/>
        <w:rPr>
          <w:color w:val="00B0F0"/>
          <w:sz w:val="24"/>
        </w:rPr>
      </w:pPr>
      <w:r>
        <w:rPr>
          <w:rFonts w:hint="eastAsia"/>
          <w:sz w:val="24"/>
        </w:rPr>
        <w:t>机房配置840*300*</w:t>
      </w:r>
      <w:r>
        <w:rPr>
          <w:rFonts w:hint="eastAsia"/>
          <w:sz w:val="24"/>
          <w:lang w:val="en-US" w:eastAsia="zh-CN"/>
        </w:rPr>
        <w:t>220</w:t>
      </w:r>
      <w:r>
        <w:rPr>
          <w:rFonts w:hint="eastAsia"/>
          <w:sz w:val="24"/>
        </w:rPr>
        <w:t>00mm规格ODF架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个。</w:t>
      </w:r>
    </w:p>
    <w:p>
      <w:pPr>
        <w:numPr>
          <w:ilvl w:val="0"/>
          <w:numId w:val="4"/>
        </w:numPr>
        <w:spacing w:line="500" w:lineRule="exact"/>
        <w:ind w:left="0" w:leftChars="0" w:firstLine="480" w:firstLineChars="200"/>
        <w:rPr>
          <w:sz w:val="24"/>
        </w:rPr>
      </w:pPr>
      <w:r>
        <w:rPr>
          <w:rFonts w:hint="eastAsia"/>
          <w:sz w:val="24"/>
        </w:rPr>
        <w:t>走线架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机房主要采用上走线方式。传输机房内，在机柜和ODF架上方布置三层走线架，第一层为光纤槽道，采用工程塑料制作，作为尾纤铺设专用；第二层为弱电走线架，采用U型钢质网格桥架；第三层为强电走线架，采用U型钢质网格桥架。具体桥架安装布置详见《强电桥架布置图》、《弱电桥架布置图》、《强尾纤槽道布置图》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尾纤槽尺寸</w:t>
      </w:r>
      <w:r>
        <w:rPr>
          <w:sz w:val="24"/>
        </w:rPr>
        <w:t>240*1</w:t>
      </w:r>
      <w:r>
        <w:rPr>
          <w:rFonts w:hint="eastAsia"/>
          <w:sz w:val="24"/>
        </w:rPr>
        <w:t>0</w:t>
      </w:r>
      <w:r>
        <w:rPr>
          <w:sz w:val="24"/>
        </w:rPr>
        <w:t>0mm</w:t>
      </w:r>
      <w:r>
        <w:rPr>
          <w:rFonts w:hint="eastAsia"/>
          <w:sz w:val="24"/>
        </w:rPr>
        <w:t>，在机柜、ODF架上方使用配套固定组件安装 。所有穿外墙的管线槽和电缆、光缆进出线口使用防火泥封堵。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3．光纤线路布放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光纤(尾纤)在光纤槽道内铺设，同时在每个ODF架位置配置大活动出纤口，在每个机柜位置配置光纤的活动出纤口、波纹管等辅件。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4. 弱电线路布放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光缆、视音频线、射频线、五类线等弱电</w:t>
      </w:r>
      <w:r>
        <w:rPr>
          <w:rFonts w:hint="eastAsia"/>
          <w:sz w:val="24"/>
          <w:lang w:eastAsia="zh-CN"/>
        </w:rPr>
        <w:t>线缆</w:t>
      </w:r>
      <w:r>
        <w:rPr>
          <w:rFonts w:hint="eastAsia"/>
          <w:sz w:val="24"/>
        </w:rPr>
        <w:t>在弱电走线架上敷设。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5．强电线路布放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（1）动力配电</w:t>
      </w:r>
      <w:r>
        <w:rPr>
          <w:rFonts w:hint="eastAsia"/>
          <w:sz w:val="24"/>
          <w:lang w:eastAsia="zh-CN"/>
        </w:rPr>
        <w:t>箱</w:t>
      </w:r>
      <w:r>
        <w:rPr>
          <w:rFonts w:hint="eastAsia"/>
          <w:sz w:val="24"/>
        </w:rPr>
        <w:t>输入电缆选用阻燃YJV电力电缆，在强电线槽内</w:t>
      </w:r>
      <w:r>
        <w:rPr>
          <w:rFonts w:hint="eastAsia"/>
          <w:sz w:val="24"/>
          <w:lang w:eastAsia="zh-CN"/>
        </w:rPr>
        <w:t>或套钢管</w:t>
      </w:r>
      <w:r>
        <w:rPr>
          <w:rFonts w:hint="eastAsia"/>
          <w:sz w:val="24"/>
        </w:rPr>
        <w:t>走线。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（2）UPS主机的输入、输出电缆</w:t>
      </w:r>
      <w:bookmarkStart w:id="0" w:name="_GoBack"/>
      <w:bookmarkEnd w:id="0"/>
      <w:r>
        <w:rPr>
          <w:rFonts w:hint="eastAsia"/>
          <w:sz w:val="24"/>
        </w:rPr>
        <w:t>选用阻燃YJV电力电缆，</w:t>
      </w:r>
      <w:r>
        <w:rPr>
          <w:rFonts w:hint="eastAsia"/>
          <w:sz w:val="24"/>
          <w:lang w:eastAsia="zh-CN"/>
        </w:rPr>
        <w:t>沿墙布线</w:t>
      </w:r>
      <w:r>
        <w:rPr>
          <w:rFonts w:hint="eastAsia"/>
          <w:sz w:val="24"/>
        </w:rPr>
        <w:t>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（3）设备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至机柜的配电电缆选用阻燃YJV电力电缆，在强电</w:t>
      </w:r>
      <w:r>
        <w:rPr>
          <w:rFonts w:hint="eastAsia"/>
          <w:sz w:val="24"/>
          <w:lang w:eastAsia="zh-CN"/>
        </w:rPr>
        <w:t>桥架</w:t>
      </w:r>
      <w:r>
        <w:rPr>
          <w:rFonts w:hint="eastAsia"/>
          <w:sz w:val="24"/>
        </w:rPr>
        <w:t>内走线。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（4）照明、应急照明、辅助用电用电等线路在PVC穿线管或墙面PVC线槽内布放。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（5）所有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内电缆联结均要求严格按照相关规范施工。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6．接地线路布放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（1）各机房接地线电缆选用阻燃BVR（双色）多股软铜线，在强电线槽内布放。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（2）强、弱电走线槽，要求段与段间、段与件间、件与件间保持整体电连通，可使用BVR</w:t>
      </w:r>
      <w:r>
        <w:rPr>
          <w:sz w:val="24"/>
        </w:rPr>
        <w:t>1</w:t>
      </w:r>
      <w:r>
        <w:rPr>
          <w:rFonts w:hint="eastAsia"/>
          <w:sz w:val="24"/>
        </w:rPr>
        <w:t>6（双色）多股铜导线进行跨接。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（3）所有金属柜（箱）、灯具、盒、槽（架）均要求可靠接地。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（4）所有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内接地线的联结均要求严格按照相关规范施工。</w:t>
      </w:r>
    </w:p>
    <w:p>
      <w:pPr>
        <w:spacing w:line="500" w:lineRule="exact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电气设计</w:t>
      </w:r>
    </w:p>
    <w:p>
      <w:pPr>
        <w:spacing w:line="500" w:lineRule="exact"/>
        <w:rPr>
          <w:b/>
          <w:bCs/>
          <w:sz w:val="24"/>
        </w:rPr>
      </w:pPr>
    </w:p>
    <w:p>
      <w:pPr>
        <w:tabs>
          <w:tab w:val="left" w:pos="180"/>
        </w:tabs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1．供电</w:t>
      </w:r>
    </w:p>
    <w:p>
      <w:pPr>
        <w:pStyle w:val="3"/>
        <w:spacing w:line="500" w:lineRule="exact"/>
      </w:pPr>
      <w:r>
        <w:rPr>
          <w:rFonts w:hint="eastAsia"/>
          <w:lang w:eastAsia="zh-CN"/>
        </w:rPr>
        <w:t>安溪分公司恒大御景 （5#1F）接入机房</w:t>
      </w:r>
      <w:r>
        <w:rPr>
          <w:rFonts w:hint="eastAsia"/>
        </w:rPr>
        <w:t>为二级负荷供电单位，供电系统应使用应急</w:t>
      </w:r>
      <w:r>
        <w:rPr>
          <w:rFonts w:hint="eastAsia"/>
          <w:lang w:eastAsia="zh-CN"/>
        </w:rPr>
        <w:t>电源</w:t>
      </w:r>
      <w:r>
        <w:rPr>
          <w:rFonts w:hint="eastAsia"/>
        </w:rPr>
        <w:t>，机房动力电源使用独立电缆从大楼低压配电房引出。</w:t>
      </w:r>
    </w:p>
    <w:p>
      <w:pPr>
        <w:pStyle w:val="3"/>
        <w:spacing w:line="500" w:lineRule="exact"/>
      </w:pPr>
      <w:r>
        <w:rPr>
          <w:rFonts w:hint="eastAsia"/>
        </w:rPr>
        <w:t>机房所采用的配电系统为TN-S的三相五线制、单相三线制，其三相额定电压为380伏，单相额定电压220伏，供电频率为50H</w:t>
      </w:r>
      <w:r>
        <w:t>z</w:t>
      </w:r>
      <w:r>
        <w:rPr>
          <w:rFonts w:hint="eastAsia"/>
        </w:rPr>
        <w:t>。</w:t>
      </w:r>
    </w:p>
    <w:p>
      <w:pPr>
        <w:pStyle w:val="3"/>
        <w:spacing w:line="500" w:lineRule="exact"/>
      </w:pPr>
      <w:r>
        <w:rPr>
          <w:rFonts w:hint="eastAsia"/>
        </w:rPr>
        <w:t>动力</w:t>
      </w:r>
      <w:r>
        <w:rPr>
          <w:rFonts w:hint="eastAsia"/>
          <w:lang w:eastAsia="zh-CN"/>
        </w:rPr>
        <w:t>配电箱市电电源电缆从大楼配电房或电表间引</w:t>
      </w:r>
      <w:r>
        <w:rPr>
          <w:rFonts w:hint="eastAsia"/>
        </w:rPr>
        <w:t>阻燃YJV铜芯电缆，对本机房的UPS主机和照明、应急照明、辅助插座、空调供电，线路沿强电线槽</w:t>
      </w:r>
      <w:r>
        <w:rPr>
          <w:rFonts w:hint="eastAsia"/>
          <w:lang w:eastAsia="zh-CN"/>
        </w:rPr>
        <w:t>或套钢管保护</w:t>
      </w:r>
      <w:r>
        <w:rPr>
          <w:rFonts w:hint="eastAsia"/>
        </w:rPr>
        <w:t>敷设。</w:t>
      </w:r>
    </w:p>
    <w:p>
      <w:pPr>
        <w:tabs>
          <w:tab w:val="left" w:pos="180"/>
        </w:tabs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供电由机房内的UPS主机使用阻燃YJV铜芯电缆引入，为机柜供电，每个机柜引入两路单相电源供电。</w:t>
      </w:r>
    </w:p>
    <w:p>
      <w:pPr>
        <w:pStyle w:val="3"/>
        <w:spacing w:line="500" w:lineRule="exact"/>
      </w:pPr>
      <w:r>
        <w:rPr>
          <w:rFonts w:hint="eastAsia"/>
          <w:lang w:eastAsia="zh-CN"/>
        </w:rPr>
        <w:t>配电箱</w:t>
      </w:r>
      <w:r>
        <w:rPr>
          <w:rFonts w:hint="eastAsia"/>
        </w:rPr>
        <w:t>内部配置配电详见《动力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系统图》、《设备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系统图》。</w:t>
      </w:r>
    </w:p>
    <w:p>
      <w:pPr>
        <w:pStyle w:val="3"/>
        <w:spacing w:line="500" w:lineRule="exact"/>
      </w:pPr>
      <w:r>
        <w:rPr>
          <w:rFonts w:hint="eastAsia"/>
        </w:rPr>
        <w:t>2．用电容量：</w:t>
      </w:r>
    </w:p>
    <w:p>
      <w:pPr>
        <w:pStyle w:val="3"/>
        <w:spacing w:line="500" w:lineRule="exact"/>
      </w:pPr>
      <w:r>
        <w:rPr>
          <w:rFonts w:hint="eastAsia"/>
        </w:rPr>
        <w:t>（1）机柜用电</w:t>
      </w:r>
    </w:p>
    <w:p>
      <w:pPr>
        <w:pStyle w:val="3"/>
        <w:spacing w:line="500" w:lineRule="exact"/>
      </w:pPr>
      <w:r>
        <w:rPr>
          <w:rFonts w:hint="eastAsia"/>
        </w:rPr>
        <w:t>机房内安装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台传输机柜，机柜按每台平均耗电</w:t>
      </w:r>
      <w:r>
        <w:rPr>
          <w:rFonts w:hint="eastAsia"/>
          <w:lang w:val="en-US" w:eastAsia="zh-CN"/>
        </w:rPr>
        <w:t>0.6</w:t>
      </w:r>
      <w:r>
        <w:rPr>
          <w:rFonts w:hint="eastAsia"/>
        </w:rPr>
        <w:t>kW规划，用电容量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*</w:t>
      </w:r>
      <w:r>
        <w:rPr>
          <w:rFonts w:hint="eastAsia"/>
          <w:lang w:val="en-US" w:eastAsia="zh-CN"/>
        </w:rPr>
        <w:t>0.6</w:t>
      </w:r>
      <w:r>
        <w:rPr>
          <w:rFonts w:hint="eastAsia"/>
        </w:rPr>
        <w:t>kW=</w:t>
      </w:r>
      <w:r>
        <w:rPr>
          <w:rFonts w:hint="eastAsia"/>
          <w:lang w:val="en-US" w:eastAsia="zh-CN"/>
        </w:rPr>
        <w:t>7.8</w:t>
      </w:r>
      <w:r>
        <w:rPr>
          <w:rFonts w:hint="eastAsia"/>
        </w:rPr>
        <w:t>kW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前端</w:t>
      </w:r>
      <w:r>
        <w:rPr>
          <w:rFonts w:hint="eastAsia"/>
          <w:lang w:eastAsia="zh-CN"/>
        </w:rPr>
        <w:t>配电</w:t>
      </w:r>
      <w:r>
        <w:rPr>
          <w:rFonts w:hint="eastAsia"/>
          <w:lang w:val="en-US" w:eastAsia="zh-CN"/>
        </w:rPr>
        <w:t>系统</w:t>
      </w:r>
      <w:r>
        <w:rPr>
          <w:rFonts w:hint="eastAsia"/>
          <w:lang w:eastAsia="zh-CN"/>
        </w:rPr>
        <w:t>按单机柜耗电</w:t>
      </w:r>
      <w:r>
        <w:rPr>
          <w:rFonts w:hint="eastAsia"/>
          <w:lang w:val="en-US" w:eastAsia="zh-CN"/>
        </w:rPr>
        <w:t>1.2kW规划</w:t>
      </w:r>
      <w:r>
        <w:rPr>
          <w:rFonts w:hint="eastAsia"/>
        </w:rPr>
        <w:t>。</w:t>
      </w:r>
    </w:p>
    <w:p>
      <w:pPr>
        <w:pStyle w:val="3"/>
        <w:spacing w:line="500" w:lineRule="exact"/>
      </w:pPr>
      <w:r>
        <w:rPr>
          <w:rFonts w:hint="eastAsia"/>
        </w:rPr>
        <w:t>（2）UPS损耗</w:t>
      </w:r>
    </w:p>
    <w:p>
      <w:pPr>
        <w:pStyle w:val="3"/>
        <w:spacing w:line="500" w:lineRule="exact"/>
      </w:pPr>
      <w:r>
        <w:rPr>
          <w:rFonts w:hint="eastAsia"/>
        </w:rPr>
        <w:t>按照机柜设备用电容量，配置</w:t>
      </w:r>
      <w:r>
        <w:rPr>
          <w:rFonts w:hint="eastAsia"/>
          <w:lang w:eastAsia="zh-CN"/>
        </w:rPr>
        <w:t>一</w:t>
      </w:r>
      <w:r>
        <w:rPr>
          <w:rFonts w:hint="eastAsia"/>
        </w:rPr>
        <w:t>台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0KVA的UPS</w:t>
      </w:r>
      <w:r>
        <w:rPr>
          <w:rFonts w:hint="eastAsia"/>
          <w:lang w:eastAsia="zh-CN"/>
        </w:rPr>
        <w:t>在线</w:t>
      </w:r>
      <w:r>
        <w:rPr>
          <w:rFonts w:hint="eastAsia"/>
        </w:rPr>
        <w:t>运行，UPS最大可带载</w:t>
      </w:r>
      <w:r>
        <w:rPr>
          <w:rFonts w:hint="eastAsia"/>
          <w:lang w:val="en-US" w:eastAsia="zh-CN"/>
        </w:rPr>
        <w:t>9.0</w:t>
      </w:r>
      <w:r>
        <w:rPr>
          <w:rFonts w:hint="eastAsia"/>
        </w:rPr>
        <w:t>KW，按UPS转换效率0.9计算，则UPS主机本身消耗功率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kW*(1-0.9)=0.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kW。</w:t>
      </w:r>
    </w:p>
    <w:p>
      <w:pPr>
        <w:pStyle w:val="3"/>
        <w:spacing w:line="500" w:lineRule="exact"/>
      </w:pPr>
      <w:r>
        <w:rPr>
          <w:rFonts w:hint="eastAsia"/>
          <w:lang w:eastAsia="zh-CN"/>
        </w:rPr>
        <w:t>单台</w:t>
      </w:r>
      <w:r>
        <w:rPr>
          <w:rFonts w:hint="eastAsia"/>
        </w:rPr>
        <w:t>UPS电池充电电流按0.1</w:t>
      </w:r>
      <w:r>
        <w:t>C计算，则充电功率为0.1*</w:t>
      </w:r>
      <w:r>
        <w:rPr>
          <w:rFonts w:hint="eastAsia"/>
          <w:lang w:val="en-US" w:eastAsia="zh-CN"/>
        </w:rPr>
        <w:t>2</w:t>
      </w:r>
      <w:r>
        <w:t>00*</w:t>
      </w:r>
      <w:r>
        <w:rPr>
          <w:rFonts w:hint="eastAsia"/>
          <w:lang w:val="en-US" w:eastAsia="zh-CN"/>
        </w:rPr>
        <w:t>224</w:t>
      </w:r>
      <w:r>
        <w:t>=</w:t>
      </w:r>
      <w:r>
        <w:rPr>
          <w:rFonts w:hint="eastAsia"/>
          <w:lang w:val="en-US" w:eastAsia="zh-CN"/>
        </w:rPr>
        <w:t>4.48</w:t>
      </w:r>
      <w:r>
        <w:t>W，</w:t>
      </w:r>
      <w:r>
        <w:rPr>
          <w:rFonts w:hint="eastAsia"/>
          <w:lang w:eastAsia="zh-CN"/>
        </w:rPr>
        <w:t>则</w:t>
      </w:r>
      <w:r>
        <w:rPr>
          <w:rFonts w:hint="eastAsia"/>
          <w:lang w:val="en-US" w:eastAsia="zh-CN"/>
        </w:rPr>
        <w:t>UPS充电功率为4.48</w:t>
      </w:r>
      <w:r>
        <w:t>kW</w:t>
      </w:r>
      <w:r>
        <w:rPr>
          <w:rFonts w:hint="eastAsia"/>
        </w:rPr>
        <w:t>。</w:t>
      </w:r>
    </w:p>
    <w:p>
      <w:pPr>
        <w:pStyle w:val="3"/>
        <w:spacing w:line="500" w:lineRule="exact"/>
      </w:pPr>
      <w:r>
        <w:rPr>
          <w:rFonts w:hint="eastAsia"/>
        </w:rPr>
        <w:t>（3）空调用电</w:t>
      </w:r>
    </w:p>
    <w:p>
      <w:pPr>
        <w:pStyle w:val="3"/>
        <w:spacing w:line="500" w:lineRule="exact"/>
      </w:pPr>
      <w:r>
        <w:rPr>
          <w:rFonts w:hint="eastAsia"/>
        </w:rPr>
        <w:t>根据机房用电功率所产生的热负载，机房内需配置2台</w:t>
      </w:r>
      <w:r>
        <w:rPr>
          <w:rFonts w:hint="eastAsia"/>
          <w:lang w:val="en-US" w:eastAsia="zh-CN"/>
        </w:rPr>
        <w:t>12kW单冷柜式</w:t>
      </w:r>
      <w:r>
        <w:rPr>
          <w:rFonts w:hint="eastAsia"/>
        </w:rPr>
        <w:t>空调，单台空调用电量按</w:t>
      </w:r>
      <w:r>
        <w:rPr>
          <w:rFonts w:hint="eastAsia"/>
          <w:lang w:eastAsia="zh-CN"/>
        </w:rPr>
        <w:t>启动时的需用量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.0kW计算，则空调用电功率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.0kW *2=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.0kW。</w:t>
      </w:r>
    </w:p>
    <w:p>
      <w:pPr>
        <w:pStyle w:val="3"/>
        <w:spacing w:line="500" w:lineRule="exact"/>
      </w:pPr>
      <w:r>
        <w:rPr>
          <w:rFonts w:hint="eastAsia"/>
        </w:rPr>
        <w:t>（4）照明及插座用电</w:t>
      </w:r>
    </w:p>
    <w:p>
      <w:pPr>
        <w:pStyle w:val="3"/>
        <w:spacing w:line="500" w:lineRule="exact"/>
      </w:pPr>
      <w:r>
        <w:rPr>
          <w:rFonts w:hint="eastAsia"/>
        </w:rPr>
        <w:t>根据机房照明灯具布置数量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*</w:t>
      </w:r>
      <w:r>
        <w:rPr>
          <w:rFonts w:hint="eastAsia"/>
          <w:lang w:val="en-US" w:eastAsia="zh-CN"/>
        </w:rPr>
        <w:t>48</w:t>
      </w:r>
      <w:r>
        <w:rPr>
          <w:rFonts w:hint="eastAsia"/>
        </w:rPr>
        <w:t>W</w:t>
      </w:r>
      <w:r>
        <w:rPr>
          <w:rFonts w:hint="eastAsia"/>
          <w:lang w:val="en-US" w:eastAsia="zh-CN"/>
        </w:rPr>
        <w:t>+6</w:t>
      </w:r>
      <w:r>
        <w:rPr>
          <w:rFonts w:hint="eastAsia"/>
        </w:rPr>
        <w:t>*</w:t>
      </w:r>
      <w:r>
        <w:rPr>
          <w:rFonts w:hint="eastAsia"/>
          <w:lang w:val="en-US" w:eastAsia="zh-CN"/>
        </w:rPr>
        <w:t>24W</w:t>
      </w:r>
      <w:r>
        <w:rPr>
          <w:rFonts w:hint="eastAsia"/>
        </w:rPr>
        <w:t>=</w:t>
      </w:r>
      <w:r>
        <w:rPr>
          <w:rFonts w:hint="eastAsia"/>
          <w:lang w:val="en-US" w:eastAsia="zh-CN"/>
        </w:rPr>
        <w:t>288</w:t>
      </w:r>
      <w:r>
        <w:rPr>
          <w:rFonts w:hint="eastAsia"/>
        </w:rPr>
        <w:t>W≈0.</w:t>
      </w:r>
      <w:r>
        <w:rPr>
          <w:rFonts w:hint="eastAsia"/>
          <w:lang w:val="en-US" w:eastAsia="zh-CN"/>
        </w:rPr>
        <w:t>3k</w:t>
      </w:r>
      <w:r>
        <w:rPr>
          <w:rFonts w:hint="eastAsia"/>
        </w:rPr>
        <w:t>W，插座用电量按1.5kW估算，共计1.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kW。</w:t>
      </w:r>
    </w:p>
    <w:p>
      <w:pPr>
        <w:pStyle w:val="3"/>
        <w:spacing w:line="500" w:lineRule="exact"/>
        <w:rPr>
          <w:rFonts w:hint="eastAsia"/>
        </w:rPr>
      </w:pPr>
      <w:r>
        <w:rPr>
          <w:rFonts w:hint="eastAsia"/>
        </w:rPr>
        <w:t>机房总用电容量</w:t>
      </w:r>
      <w:r>
        <w:rPr>
          <w:rFonts w:hint="eastAsia"/>
          <w:lang w:eastAsia="zh-CN"/>
        </w:rPr>
        <w:t>（最大）</w:t>
      </w:r>
      <w:r>
        <w:rPr>
          <w:rFonts w:hint="eastAsia"/>
        </w:rPr>
        <w:t>:</w:t>
      </w:r>
    </w:p>
    <w:tbl>
      <w:tblPr>
        <w:tblStyle w:val="9"/>
        <w:tblW w:w="0" w:type="auto"/>
        <w:tblInd w:w="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160"/>
        <w:gridCol w:w="1201"/>
        <w:gridCol w:w="1198"/>
        <w:gridCol w:w="1198"/>
        <w:gridCol w:w="1183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178" w:type="dxa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232" w:type="dxa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UPS最大带载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UPS损耗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电池充电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空调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照明及插座</w:t>
            </w:r>
          </w:p>
        </w:tc>
        <w:tc>
          <w:tcPr>
            <w:tcW w:w="1284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178" w:type="dxa"/>
            <w:vAlign w:val="center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用电量（单位：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kW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32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0.9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4.48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10.0</w:t>
            </w:r>
          </w:p>
        </w:tc>
        <w:tc>
          <w:tcPr>
            <w:tcW w:w="1279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1.8</w:t>
            </w:r>
          </w:p>
        </w:tc>
        <w:tc>
          <w:tcPr>
            <w:tcW w:w="1284" w:type="dxa"/>
            <w:vAlign w:val="center"/>
          </w:tcPr>
          <w:p>
            <w:pPr>
              <w:bidi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26.18</w:t>
            </w:r>
          </w:p>
        </w:tc>
      </w:tr>
    </w:tbl>
    <w:p>
      <w:pPr>
        <w:pStyle w:val="3"/>
        <w:spacing w:line="500" w:lineRule="exact"/>
        <w:ind w:left="0" w:leftChars="0" w:firstLine="0" w:firstLineChars="0"/>
        <w:rPr>
          <w:rFonts w:hint="eastAsia"/>
        </w:rPr>
      </w:pPr>
    </w:p>
    <w:p>
      <w:pPr>
        <w:pStyle w:val="3"/>
        <w:spacing w:line="500" w:lineRule="exact"/>
      </w:pPr>
      <w:r>
        <w:rPr>
          <w:rFonts w:hint="eastAsia"/>
        </w:rPr>
        <w:t>3. UPS延迟工作时间及电池数量配置：</w:t>
      </w:r>
    </w:p>
    <w:p>
      <w:pPr>
        <w:pStyle w:val="3"/>
        <w:spacing w:line="500" w:lineRule="exact"/>
      </w:pPr>
      <w:r>
        <w:rPr>
          <w:rFonts w:hint="eastAsia"/>
        </w:rPr>
        <w:t>根据集团对UPS延迟工作时间的指导意见，按机房设备用电功率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0KVA计算，设UPS直流工作电压12V×</w:t>
      </w:r>
      <w:r>
        <w:rPr>
          <w:rFonts w:hint="eastAsia"/>
          <w:lang w:val="en-US" w:eastAsia="zh-CN"/>
        </w:rPr>
        <w:t>16</w:t>
      </w:r>
      <w:r>
        <w:rPr>
          <w:rFonts w:hint="eastAsia"/>
        </w:rPr>
        <w:t>节=</w:t>
      </w:r>
      <w:r>
        <w:rPr>
          <w:rFonts w:hint="eastAsia"/>
          <w:lang w:val="en-US" w:eastAsia="zh-CN"/>
        </w:rPr>
        <w:t>192</w:t>
      </w:r>
      <w:r>
        <w:rPr>
          <w:rFonts w:hint="eastAsia"/>
        </w:rPr>
        <w:t>V，则直流工作电流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0000VA÷</w:t>
      </w:r>
      <w:r>
        <w:rPr>
          <w:rFonts w:hint="eastAsia"/>
          <w:lang w:val="en-US" w:eastAsia="zh-CN"/>
        </w:rPr>
        <w:t>192</w:t>
      </w:r>
      <w:r>
        <w:rPr>
          <w:rFonts w:hint="eastAsia"/>
        </w:rPr>
        <w:t>V=</w:t>
      </w:r>
      <w:r>
        <w:rPr>
          <w:rFonts w:hint="eastAsia"/>
          <w:lang w:val="en-US" w:eastAsia="zh-CN"/>
        </w:rPr>
        <w:t>52.08</w:t>
      </w:r>
      <w:r>
        <w:rPr>
          <w:rFonts w:hint="eastAsia"/>
        </w:rPr>
        <w:t>A，实际电池容量C：C=I×T÷Kh =</w:t>
      </w:r>
      <w:r>
        <w:rPr>
          <w:rFonts w:hint="eastAsia"/>
          <w:lang w:val="en-US" w:eastAsia="zh-CN"/>
        </w:rPr>
        <w:t>52.08</w:t>
      </w:r>
      <w:r>
        <w:rPr>
          <w:rFonts w:hint="eastAsia"/>
        </w:rPr>
        <w:t>A×</w:t>
      </w:r>
      <w:r>
        <w:rPr>
          <w:rFonts w:hint="eastAsia"/>
          <w:lang w:val="en-US" w:eastAsia="zh-CN"/>
        </w:rPr>
        <w:t>2.7</w:t>
      </w:r>
      <w:r>
        <w:rPr>
          <w:rFonts w:hint="eastAsia"/>
        </w:rPr>
        <w:t>H÷0.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=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00AH，则：UPS主机配置</w:t>
      </w:r>
      <w:r>
        <w:rPr>
          <w:rFonts w:hint="eastAsia"/>
          <w:lang w:eastAsia="zh-CN"/>
        </w:rPr>
        <w:t>两组</w:t>
      </w:r>
      <w:r>
        <w:rPr>
          <w:rFonts w:hint="eastAsia"/>
          <w:lang w:val="en-US" w:eastAsia="zh-CN"/>
        </w:rPr>
        <w:t>16节</w:t>
      </w:r>
      <w:r>
        <w:rPr>
          <w:rFonts w:hint="eastAsia"/>
        </w:rPr>
        <w:t>100AH电池，共需</w:t>
      </w:r>
      <w:r>
        <w:rPr>
          <w:rFonts w:hint="eastAsia"/>
          <w:lang w:val="en-US" w:eastAsia="zh-CN"/>
        </w:rPr>
        <w:t>32</w:t>
      </w:r>
      <w:r>
        <w:rPr>
          <w:rFonts w:hint="eastAsia"/>
        </w:rPr>
        <w:t>节电池。电池满载后备时间为</w:t>
      </w:r>
      <w:r>
        <w:rPr>
          <w:rFonts w:hint="eastAsia"/>
          <w:lang w:val="en-US" w:eastAsia="zh-CN"/>
        </w:rPr>
        <w:t>2.7</w:t>
      </w:r>
      <w:r>
        <w:rPr>
          <w:rFonts w:hint="eastAsia"/>
        </w:rPr>
        <w:t>小时。</w:t>
      </w:r>
    </w:p>
    <w:p>
      <w:pPr>
        <w:pStyle w:val="3"/>
        <w:spacing w:line="500" w:lineRule="exact"/>
      </w:pPr>
      <w:r>
        <w:rPr>
          <w:rFonts w:hint="eastAsia"/>
        </w:rPr>
        <w:t>(备注：Kh为电池容量换算系数(Ct/C10)， 3-5小时放电率0.9，1-3小时放电率为0.75，1小时以下放电率为0.6</w:t>
      </w:r>
      <w:r>
        <w:t>2</w:t>
      </w:r>
      <w:r>
        <w:rPr>
          <w:rFonts w:hint="eastAsia"/>
        </w:rPr>
        <w:t>。)</w:t>
      </w:r>
    </w:p>
    <w:p>
      <w:pPr>
        <w:pStyle w:val="3"/>
        <w:spacing w:line="500" w:lineRule="exact"/>
        <w:rPr>
          <w:rFonts w:hint="eastAsia" w:eastAsia="宋体"/>
          <w:lang w:eastAsia="zh-CN"/>
        </w:rPr>
      </w:pPr>
      <w:r>
        <w:rPr>
          <w:rFonts w:hint="eastAsia"/>
        </w:rPr>
        <w:t>4．配电</w:t>
      </w:r>
      <w:r>
        <w:rPr>
          <w:rFonts w:hint="eastAsia"/>
          <w:lang w:eastAsia="zh-CN"/>
        </w:rPr>
        <w:t>箱技术要求</w:t>
      </w:r>
    </w:p>
    <w:p>
      <w:pPr>
        <w:pStyle w:val="3"/>
        <w:spacing w:line="500" w:lineRule="exact"/>
      </w:pPr>
      <w:r>
        <w:rPr>
          <w:rFonts w:hint="eastAsia"/>
        </w:rPr>
        <w:t>动力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和设备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的各相负荷须均衡配置，其均衡度应符合不小于80%的技术要求。</w:t>
      </w:r>
    </w:p>
    <w:p>
      <w:pPr>
        <w:pStyle w:val="3"/>
        <w:spacing w:line="500" w:lineRule="exact"/>
      </w:pPr>
      <w:r>
        <w:rPr>
          <w:rFonts w:hint="eastAsia"/>
        </w:rPr>
        <w:t>对机房动力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技术要求如下：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1） 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均选用有电力生产牌照、有产品出厂检测合格证的正规厂家产品。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2）动力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内空气断路器均选用ABB/施耐德品牌。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3）动力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配置</w:t>
      </w:r>
      <w:r>
        <w:rPr>
          <w:rFonts w:hint="eastAsia"/>
          <w:sz w:val="24"/>
          <w:lang w:val="en-US" w:eastAsia="zh-CN"/>
        </w:rPr>
        <w:t>2*20</w:t>
      </w:r>
      <w:r>
        <w:rPr>
          <w:rFonts w:hint="eastAsia"/>
          <w:sz w:val="24"/>
        </w:rPr>
        <w:t>紫铜零排N和地排PE，适合于铜接线端子连接。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4）动力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应具有相电压、相电流等基本参数检测的智能数字电量仪，具有监控接口（由监控厂家提供）。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5）动力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输入端安装四模块40KA浪涌保护模块和后备保护断路器，防止供电线路的感应雷击、瞬态过电压对机柜设备的冲击破坏。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均预留若干备用供电空气开关，以便设备扩容和维护使用。</w:t>
      </w:r>
    </w:p>
    <w:p>
      <w:pPr>
        <w:pStyle w:val="3"/>
        <w:spacing w:line="500" w:lineRule="exact"/>
      </w:pPr>
      <w:r>
        <w:rPr>
          <w:rFonts w:hint="eastAsia"/>
        </w:rPr>
        <w:t>对机房设备</w:t>
      </w:r>
      <w:r>
        <w:rPr>
          <w:rFonts w:hint="eastAsia"/>
          <w:lang w:eastAsia="zh-CN"/>
        </w:rPr>
        <w:t>配电箱</w:t>
      </w:r>
      <w:r>
        <w:rPr>
          <w:rFonts w:hint="eastAsia"/>
        </w:rPr>
        <w:t>技术要求如下：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1） 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均选用有电力生产牌照、有产品出厂检测合格证的正规厂家产品。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2）设备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内空气断路器均选用ABB/施耐德品牌。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3）设备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配置</w:t>
      </w:r>
      <w:r>
        <w:rPr>
          <w:rFonts w:hint="eastAsia"/>
          <w:sz w:val="24"/>
          <w:lang w:val="en-US" w:eastAsia="zh-CN"/>
        </w:rPr>
        <w:t>2*2</w:t>
      </w:r>
      <w:r>
        <w:rPr>
          <w:rFonts w:hint="eastAsia"/>
          <w:sz w:val="24"/>
        </w:rPr>
        <w:t>0紫铜零排N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2个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和地排PE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适合于铜接线端子连接。</w:t>
      </w:r>
    </w:p>
    <w:p>
      <w:pPr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均预留若干备用供电空气开关，以便设备扩容和维护使用。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5．照明</w:t>
      </w:r>
    </w:p>
    <w:p>
      <w:pPr>
        <w:spacing w:line="50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根据机房的有关照度要求，以及各机房设备实际布置情况，对机房的照明进行合理的分布和数量调整。在机房内采用</w:t>
      </w:r>
      <w:r>
        <w:rPr>
          <w:rFonts w:hint="eastAsia"/>
          <w:sz w:val="24"/>
          <w:lang w:eastAsia="zh-CN"/>
        </w:rPr>
        <w:t>嵌入式</w:t>
      </w:r>
      <w:r>
        <w:rPr>
          <w:rFonts w:hint="eastAsia"/>
          <w:sz w:val="24"/>
          <w:lang w:val="en-US" w:eastAsia="zh-CN"/>
        </w:rPr>
        <w:t>LED面灯灯具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eastAsia="zh-CN"/>
        </w:rPr>
        <w:t>单个灯具功率≥</w:t>
      </w:r>
      <w:r>
        <w:rPr>
          <w:rFonts w:hint="eastAsia"/>
          <w:sz w:val="24"/>
          <w:lang w:val="en-US" w:eastAsia="zh-CN"/>
        </w:rPr>
        <w:t>15W（或</w:t>
      </w:r>
      <w:r>
        <w:rPr>
          <w:rFonts w:hint="eastAsia"/>
          <w:sz w:val="24"/>
          <w:lang w:eastAsia="zh-CN"/>
        </w:rPr>
        <w:t>≥</w:t>
      </w:r>
      <w:r>
        <w:rPr>
          <w:rFonts w:hint="eastAsia"/>
          <w:sz w:val="24"/>
          <w:lang w:val="en-US" w:eastAsia="zh-CN"/>
        </w:rPr>
        <w:t>30W）</w:t>
      </w:r>
      <w:r>
        <w:rPr>
          <w:rFonts w:hint="eastAsia"/>
          <w:sz w:val="24"/>
        </w:rPr>
        <w:t>。机房照明布置详见《照明布置图》</w:t>
      </w:r>
      <w:r>
        <w:rPr>
          <w:rFonts w:hint="eastAsia"/>
          <w:sz w:val="24"/>
          <w:lang w:eastAsia="zh-CN"/>
        </w:rPr>
        <w:t>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应急照明使用自带蓄电池的双头LED应急灯，延时时间≥60分钟。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6．插座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根据插座用途机房插座可分为二类，一类是由设备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引出的提供给设备供电的PDU插座；另一类为动力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引出的应急、辅助插座。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辅助插座一般布置在墙面上，选用西门子、TCL等知名品牌的产品，离</w:t>
      </w:r>
      <w:r>
        <w:rPr>
          <w:rFonts w:hint="eastAsia"/>
          <w:sz w:val="24"/>
          <w:lang w:eastAsia="zh-CN"/>
        </w:rPr>
        <w:t>防静电</w:t>
      </w:r>
      <w:r>
        <w:rPr>
          <w:rFonts w:hint="eastAsia"/>
          <w:sz w:val="24"/>
        </w:rPr>
        <w:t>地</w:t>
      </w:r>
      <w:r>
        <w:rPr>
          <w:rFonts w:hint="eastAsia"/>
          <w:sz w:val="24"/>
          <w:lang w:eastAsia="zh-CN"/>
        </w:rPr>
        <w:t>板</w:t>
      </w:r>
      <w:r>
        <w:rPr>
          <w:rFonts w:hint="eastAsia"/>
          <w:sz w:val="24"/>
        </w:rPr>
        <w:t>3</w:t>
      </w:r>
      <w:r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sz w:val="24"/>
        </w:rPr>
        <w:t>mm</w:t>
      </w:r>
      <w:r>
        <w:rPr>
          <w:rFonts w:hint="eastAsia"/>
          <w:sz w:val="24"/>
        </w:rPr>
        <w:t>安装；应急照明插座一般布置在墙面上，选用西门子、TCL等知名品牌的产品，离</w:t>
      </w:r>
      <w:r>
        <w:rPr>
          <w:rFonts w:hint="eastAsia"/>
          <w:sz w:val="24"/>
          <w:lang w:eastAsia="zh-CN"/>
        </w:rPr>
        <w:t>防静电</w:t>
      </w:r>
      <w:r>
        <w:rPr>
          <w:rFonts w:hint="eastAsia"/>
          <w:sz w:val="24"/>
        </w:rPr>
        <w:t>地</w:t>
      </w:r>
      <w:r>
        <w:rPr>
          <w:rFonts w:hint="eastAsia"/>
          <w:sz w:val="24"/>
          <w:lang w:eastAsia="zh-CN"/>
        </w:rPr>
        <w:t>板</w:t>
      </w:r>
      <w:r>
        <w:rPr>
          <w:rFonts w:hint="eastAsia"/>
          <w:sz w:val="24"/>
        </w:rPr>
        <w:t>23</w:t>
      </w:r>
      <w:r>
        <w:rPr>
          <w:sz w:val="24"/>
        </w:rPr>
        <w:t>0</w:t>
      </w:r>
      <w:r>
        <w:rPr>
          <w:rFonts w:hint="eastAsia"/>
          <w:sz w:val="24"/>
        </w:rPr>
        <w:t>0</w:t>
      </w:r>
      <w:r>
        <w:rPr>
          <w:sz w:val="24"/>
        </w:rPr>
        <w:t>mm</w:t>
      </w:r>
      <w:r>
        <w:rPr>
          <w:rFonts w:hint="eastAsia"/>
          <w:sz w:val="24"/>
        </w:rPr>
        <w:t>安装；空调电源直接通过铜芯电缆连接至</w:t>
      </w:r>
      <w:r>
        <w:rPr>
          <w:rFonts w:hint="eastAsia"/>
          <w:sz w:val="24"/>
          <w:lang w:eastAsia="zh-CN"/>
        </w:rPr>
        <w:t>配电箱</w:t>
      </w:r>
      <w:r>
        <w:rPr>
          <w:rFonts w:hint="eastAsia"/>
          <w:sz w:val="24"/>
        </w:rPr>
        <w:t>内空开。机房应急照明插座、辅助插座和空调配电布置情况详见《应急照明布置图》、《辅助插座布置图》和《空调电源布置图》。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7．接地</w:t>
      </w:r>
    </w:p>
    <w:p>
      <w:pPr>
        <w:spacing w:line="500" w:lineRule="exact"/>
        <w:ind w:firstLine="366" w:firstLineChars="150"/>
        <w:rPr>
          <w:b/>
          <w:bCs/>
          <w:sz w:val="28"/>
        </w:rPr>
      </w:pPr>
      <w:r>
        <w:rPr>
          <w:rFonts w:hint="eastAsia" w:ascii="宋体" w:hAnsi="宋体" w:cs="宋体"/>
          <w:spacing w:val="2"/>
          <w:sz w:val="24"/>
        </w:rPr>
        <w:t>在</w:t>
      </w:r>
      <w:r>
        <w:rPr>
          <w:rFonts w:hint="eastAsia" w:ascii="宋体" w:hAnsi="宋体" w:cs="宋体"/>
          <w:spacing w:val="2"/>
          <w:sz w:val="24"/>
          <w:lang w:eastAsia="zh-CN"/>
        </w:rPr>
        <w:t>网格</w:t>
      </w:r>
      <w:r>
        <w:rPr>
          <w:rFonts w:hint="eastAsia" w:ascii="宋体" w:hAnsi="宋体" w:cs="宋体"/>
          <w:spacing w:val="2"/>
          <w:sz w:val="24"/>
        </w:rPr>
        <w:t>桥架上方的墙面上安装保护接地汇流排，规格3*30*</w:t>
      </w:r>
      <w:r>
        <w:rPr>
          <w:rFonts w:ascii="宋体" w:hAnsi="宋体" w:cs="宋体"/>
          <w:spacing w:val="2"/>
          <w:sz w:val="24"/>
        </w:rPr>
        <w:t>2</w:t>
      </w:r>
      <w:r>
        <w:rPr>
          <w:rFonts w:hint="eastAsia" w:ascii="宋体" w:hAnsi="宋体" w:cs="宋体"/>
          <w:spacing w:val="2"/>
          <w:sz w:val="24"/>
        </w:rPr>
        <w:t>00。</w:t>
      </w:r>
    </w:p>
    <w:p>
      <w:pPr>
        <w:spacing w:line="500" w:lineRule="exact"/>
        <w:ind w:firstLine="360" w:firstLineChars="150"/>
        <w:rPr>
          <w:sz w:val="24"/>
        </w:rPr>
      </w:pPr>
      <w:r>
        <w:rPr>
          <w:rFonts w:hint="eastAsia"/>
          <w:sz w:val="24"/>
        </w:rPr>
        <w:t>汇流排使用BVR25多股铜芯线与</w:t>
      </w:r>
      <w:r>
        <w:rPr>
          <w:rFonts w:hint="eastAsia"/>
          <w:sz w:val="24"/>
          <w:lang w:eastAsia="zh-CN"/>
        </w:rPr>
        <w:t>弱电井接地扁铁连接</w:t>
      </w:r>
      <w:r>
        <w:rPr>
          <w:rFonts w:hint="eastAsia"/>
          <w:sz w:val="24"/>
        </w:rPr>
        <w:t>，保护接地汇流排使用 BVR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多股铜芯线与机房内部机柜、ODF架、UPS主机、电池柜等连接，起到保护接地作用；保护接地汇流排使用 BVR10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多股铜芯线与机房内桥架连接，起到保护接地作用；保护接地汇流排使用BVR1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多股铜芯线与交流配电箱的接地排连接，起到重复接地作用。</w:t>
      </w:r>
    </w:p>
    <w:p>
      <w:pPr>
        <w:spacing w:line="500" w:lineRule="exact"/>
        <w:ind w:firstLine="360" w:firstLineChars="150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outlineLvl w:val="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空调设计</w:t>
      </w:r>
    </w:p>
    <w:p>
      <w:pPr>
        <w:spacing w:line="500" w:lineRule="exact"/>
        <w:ind w:firstLine="480"/>
        <w:rPr>
          <w:sz w:val="24"/>
        </w:rPr>
      </w:pP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机房空调供冷系统采取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风冷式空调</w:t>
      </w:r>
      <w:r>
        <w:rPr>
          <w:rFonts w:hint="eastAsia"/>
          <w:sz w:val="24"/>
        </w:rPr>
        <w:t>，空调采用三相380V供电，用于在各季节对机房进行供冷和除湿。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空调内机安装位置须考虑出风口正对机柜正面通道，并让冷气到达尽可能远的地方。空调外机置于</w:t>
      </w:r>
      <w:r>
        <w:rPr>
          <w:rFonts w:hint="eastAsia"/>
          <w:sz w:val="24"/>
          <w:lang w:eastAsia="zh-CN"/>
        </w:rPr>
        <w:t>室外墙面上安装，安装高度不小于</w:t>
      </w:r>
      <w:r>
        <w:rPr>
          <w:rFonts w:hint="eastAsia"/>
          <w:sz w:val="24"/>
          <w:lang w:val="en-US" w:eastAsia="zh-CN"/>
        </w:rPr>
        <w:t>2.0m</w:t>
      </w:r>
      <w:r>
        <w:rPr>
          <w:rFonts w:hint="eastAsia"/>
          <w:sz w:val="24"/>
        </w:rPr>
        <w:t>，同时注意空调外机热风的交换效果。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室内空调冷凝水管采用PVC2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排水管，排水管沿墙引至室外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并有不小于千分之五的坡度。</w:t>
      </w:r>
    </w:p>
    <w:p>
      <w:pPr>
        <w:snapToGrid w:val="0"/>
        <w:spacing w:line="500" w:lineRule="exact"/>
        <w:ind w:left="2" w:firstLine="488" w:firstLineChars="200"/>
        <w:rPr>
          <w:rFonts w:ascii="宋体" w:hAnsi="宋体" w:cs="宋体"/>
          <w:spacing w:val="2"/>
          <w:sz w:val="24"/>
        </w:rPr>
      </w:pPr>
      <w:r>
        <w:rPr>
          <w:rFonts w:hint="default" w:ascii="Times New Roman" w:hAnsi="Times New Roman" w:cs="Times New Roman"/>
          <w:spacing w:val="2"/>
          <w:sz w:val="24"/>
        </w:rPr>
        <w:t>1</w:t>
      </w:r>
      <w:r>
        <w:rPr>
          <w:rFonts w:hint="eastAsia" w:ascii="宋体" w:hAnsi="宋体" w:cs="宋体"/>
          <w:spacing w:val="2"/>
          <w:sz w:val="24"/>
        </w:rPr>
        <w:t>. 空调冷量核算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（1）机房发热量</w:t>
      </w:r>
    </w:p>
    <w:p>
      <w:pPr>
        <w:spacing w:line="500" w:lineRule="exact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根据机柜耗电量</w:t>
      </w:r>
      <w:r>
        <w:rPr>
          <w:rFonts w:hint="eastAsia"/>
          <w:sz w:val="24"/>
          <w:lang w:val="en-US" w:eastAsia="zh-CN"/>
        </w:rPr>
        <w:t>计算</w:t>
      </w:r>
      <w:r>
        <w:rPr>
          <w:rFonts w:hint="eastAsia"/>
          <w:sz w:val="24"/>
        </w:rPr>
        <w:t>，则机柜发热量为</w:t>
      </w:r>
      <w:r>
        <w:rPr>
          <w:rFonts w:hint="eastAsia"/>
          <w:sz w:val="24"/>
          <w:lang w:val="en-US" w:eastAsia="zh-CN"/>
        </w:rPr>
        <w:t>0.6</w:t>
      </w:r>
      <w:r>
        <w:rPr>
          <w:rFonts w:hint="eastAsia"/>
          <w:sz w:val="24"/>
        </w:rPr>
        <w:t>kW*</w:t>
      </w:r>
      <w:r>
        <w:rPr>
          <w:rFonts w:hint="eastAsia"/>
          <w:sz w:val="24"/>
          <w:lang w:val="en-US" w:eastAsia="zh-CN"/>
        </w:rPr>
        <w:t>13</w:t>
      </w:r>
      <w:r>
        <w:rPr>
          <w:rFonts w:hint="eastAsia"/>
          <w:sz w:val="24"/>
        </w:rPr>
        <w:t>=</w:t>
      </w:r>
      <w:r>
        <w:rPr>
          <w:rFonts w:hint="eastAsia"/>
          <w:sz w:val="24"/>
          <w:lang w:val="en-US" w:eastAsia="zh-CN"/>
        </w:rPr>
        <w:t>7.8</w:t>
      </w:r>
      <w:r>
        <w:rPr>
          <w:rFonts w:hint="eastAsia"/>
          <w:sz w:val="24"/>
        </w:rPr>
        <w:t>kW；根据UPS的能效比，则发热量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>kW*（1-0.9）=0.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kW；根据机房楼层、朝向、墙体结构等因素，则传输机房外部向内传导面积热量估算值为每平方米按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08</w:t>
      </w:r>
      <w:r>
        <w:rPr>
          <w:rFonts w:hint="eastAsia"/>
          <w:sz w:val="24"/>
        </w:rPr>
        <w:t>kW，传输机房约</w:t>
      </w: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平方米，外部发热量为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1.76</w:t>
      </w:r>
      <w:r>
        <w:rPr>
          <w:rFonts w:hint="eastAsia"/>
          <w:sz w:val="24"/>
        </w:rPr>
        <w:t>kW。总发热量合计</w:t>
      </w:r>
      <w:r>
        <w:rPr>
          <w:rFonts w:hint="eastAsia"/>
          <w:sz w:val="24"/>
          <w:lang w:val="en-US" w:eastAsia="zh-CN"/>
        </w:rPr>
        <w:t>10.46</w:t>
      </w:r>
      <w:r>
        <w:rPr>
          <w:rFonts w:hint="eastAsia"/>
          <w:sz w:val="24"/>
        </w:rPr>
        <w:t>kW。</w:t>
      </w:r>
      <w:r>
        <w:rPr>
          <w:rFonts w:hint="eastAsia"/>
          <w:sz w:val="24"/>
          <w:lang w:eastAsia="zh-CN"/>
        </w:rPr>
        <w:t>考虑后期扩容，单机柜耗电量达到</w:t>
      </w:r>
      <w:r>
        <w:rPr>
          <w:rFonts w:hint="eastAsia"/>
          <w:sz w:val="24"/>
          <w:lang w:val="en-US" w:eastAsia="zh-CN"/>
        </w:rPr>
        <w:t>1.2KW，采用20KVA UPS，则机房发热量可打19.16kW。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（2）机房制冷量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制冷量须大于等于总的发热量，机房配置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台</w:t>
      </w:r>
      <w:r>
        <w:rPr>
          <w:rFonts w:hint="eastAsia"/>
          <w:sz w:val="24"/>
          <w:lang w:val="en-US" w:eastAsia="zh-CN"/>
        </w:rPr>
        <w:t>12kW基站专用</w:t>
      </w:r>
      <w:r>
        <w:rPr>
          <w:rFonts w:hint="eastAsia"/>
          <w:sz w:val="24"/>
        </w:rPr>
        <w:t>空调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1+1备份</w:t>
      </w:r>
      <w:r>
        <w:rPr>
          <w:rFonts w:hint="eastAsia"/>
          <w:sz w:val="24"/>
          <w:lang w:eastAsia="zh-CN"/>
        </w:rPr>
        <w:t>），可满足当前及未来制冷量要求</w:t>
      </w:r>
      <w:r>
        <w:rPr>
          <w:sz w:val="24"/>
        </w:rPr>
        <w:t>。</w:t>
      </w:r>
    </w:p>
    <w:p>
      <w:pPr>
        <w:spacing w:line="500" w:lineRule="exact"/>
        <w:ind w:firstLine="480" w:firstLineChars="200"/>
        <w:rPr>
          <w:sz w:val="24"/>
        </w:rPr>
      </w:pPr>
    </w:p>
    <w:p>
      <w:pPr>
        <w:numPr>
          <w:ilvl w:val="0"/>
          <w:numId w:val="3"/>
        </w:numPr>
        <w:tabs>
          <w:tab w:val="clear" w:pos="975"/>
        </w:tabs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动力环境监控设计</w:t>
      </w:r>
    </w:p>
    <w:p>
      <w:pPr>
        <w:spacing w:line="500" w:lineRule="exact"/>
        <w:ind w:firstLine="480" w:firstLineChars="200"/>
        <w:rPr>
          <w:sz w:val="24"/>
        </w:rPr>
      </w:pP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一、动力环境监控系统</w:t>
      </w:r>
    </w:p>
    <w:p>
      <w:pPr>
        <w:spacing w:line="500" w:lineRule="exact"/>
        <w:ind w:firstLine="480" w:firstLineChars="200"/>
        <w:rPr>
          <w:b w:val="0"/>
          <w:bCs w:val="0"/>
          <w:sz w:val="24"/>
        </w:rPr>
      </w:pPr>
      <w:r>
        <w:rPr>
          <w:rFonts w:hint="eastAsia"/>
          <w:sz w:val="24"/>
        </w:rPr>
        <w:t>暂时不配置动力环境监控系统，UPS自配短信报警、远程监控功能，预留相关空间及接口</w:t>
      </w:r>
      <w:r>
        <w:rPr>
          <w:rFonts w:hint="eastAsia"/>
          <w:b w:val="0"/>
          <w:bCs w:val="0"/>
          <w:sz w:val="24"/>
        </w:rPr>
        <w:t>。</w:t>
      </w:r>
    </w:p>
    <w:p>
      <w:pPr>
        <w:spacing w:line="500" w:lineRule="exact"/>
        <w:rPr>
          <w:sz w:val="24"/>
        </w:rPr>
      </w:pPr>
      <w:r>
        <w:rPr>
          <w:rFonts w:hint="eastAsia"/>
          <w:sz w:val="24"/>
        </w:rPr>
        <w:t>二、图像监控系统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在机房内设置</w:t>
      </w:r>
      <w:r>
        <w:rPr>
          <w:rFonts w:hint="eastAsia"/>
          <w:sz w:val="24"/>
          <w:lang w:eastAsia="zh-CN"/>
        </w:rPr>
        <w:t>两台网络摄像</w:t>
      </w:r>
      <w:r>
        <w:rPr>
          <w:rFonts w:hint="eastAsia"/>
          <w:sz w:val="24"/>
        </w:rPr>
        <w:t>，对机房的入口、机柜内设备等重点位置进行图像监控和收录。</w:t>
      </w:r>
      <w:r>
        <w:rPr>
          <w:rFonts w:hint="eastAsia"/>
          <w:sz w:val="24"/>
          <w:lang w:eastAsia="zh-CN"/>
        </w:rPr>
        <w:t>摄</w:t>
      </w:r>
      <w:r>
        <w:rPr>
          <w:rFonts w:hint="eastAsia"/>
          <w:sz w:val="24"/>
        </w:rPr>
        <w:t>像机与机房内交换机连接。</w:t>
      </w:r>
    </w:p>
    <w:p>
      <w:pPr>
        <w:spacing w:line="500" w:lineRule="exact"/>
        <w:ind w:firstLine="480" w:firstLineChars="200"/>
        <w:rPr>
          <w:sz w:val="24"/>
        </w:rPr>
      </w:pPr>
    </w:p>
    <w:p>
      <w:pPr>
        <w:numPr>
          <w:ilvl w:val="0"/>
          <w:numId w:val="3"/>
        </w:num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消防设计（方案）</w:t>
      </w:r>
    </w:p>
    <w:p>
      <w:pPr>
        <w:tabs>
          <w:tab w:val="left" w:pos="975"/>
        </w:tabs>
        <w:spacing w:line="500" w:lineRule="exact"/>
        <w:ind w:left="975"/>
        <w:rPr>
          <w:b/>
          <w:bCs/>
          <w:sz w:val="28"/>
        </w:rPr>
      </w:pPr>
    </w:p>
    <w:p>
      <w:pPr>
        <w:tabs>
          <w:tab w:val="left" w:pos="975"/>
        </w:tabs>
        <w:spacing w:line="50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机房内部配置手动气体灭火器，放置在机房入口位置和明显位置，方便工作员在火灾发生时提取和进行灭火。</w:t>
      </w:r>
    </w:p>
    <w:p>
      <w:pPr>
        <w:tabs>
          <w:tab w:val="left" w:pos="975"/>
        </w:tabs>
        <w:spacing w:line="500" w:lineRule="exact"/>
        <w:ind w:firstLine="480" w:firstLineChars="200"/>
        <w:jc w:val="left"/>
        <w:rPr>
          <w:sz w:val="24"/>
        </w:rPr>
      </w:pPr>
    </w:p>
    <w:p>
      <w:pPr>
        <w:tabs>
          <w:tab w:val="left" w:pos="975"/>
        </w:tabs>
        <w:spacing w:line="500" w:lineRule="exact"/>
        <w:ind w:firstLine="480" w:firstLineChars="200"/>
        <w:jc w:val="left"/>
        <w:rPr>
          <w:sz w:val="24"/>
        </w:rPr>
      </w:pPr>
    </w:p>
    <w:p>
      <w:pPr>
        <w:spacing w:line="500" w:lineRule="exact"/>
        <w:ind w:firstLine="480" w:firstLineChars="200"/>
        <w:rPr>
          <w:rFonts w:hint="eastAsia" w:eastAsia="宋体"/>
          <w:sz w:val="24"/>
          <w:lang w:eastAsia="zh-CN"/>
        </w:rPr>
      </w:pPr>
    </w:p>
    <w:p>
      <w:pPr>
        <w:spacing w:line="500" w:lineRule="exact"/>
        <w:ind w:firstLine="480" w:firstLineChars="200"/>
        <w:rPr>
          <w:rFonts w:hint="eastAsia" w:eastAsia="宋体"/>
          <w:sz w:val="24"/>
          <w:lang w:eastAsia="zh-CN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418" w:right="1701" w:bottom="1134" w:left="1701" w:header="851" w:footer="737" w:gutter="284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2427605</wp:posOffset>
              </wp:positionH>
              <wp:positionV relativeFrom="paragraph">
                <wp:posOffset>-320040</wp:posOffset>
              </wp:positionV>
              <wp:extent cx="114935" cy="706120"/>
              <wp:effectExtent l="0" t="0" r="0" b="0"/>
              <wp:wrapNone/>
              <wp:docPr id="1" name="文本框 35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706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3"/>
                            <w:jc w:val="center"/>
                            <w:rPr>
                              <w:rFonts w:hint="default"/>
                            </w:rPr>
                          </w:pPr>
                        </w:p>
                        <w:p>
                          <w:pPr>
                            <w:pStyle w:val="13"/>
                            <w:jc w:val="center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default"/>
                            </w:rP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rPr>
                              <w:rFonts w:hint="default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</w:rPr>
                            <w:t>1</w:t>
                          </w:r>
                          <w:r>
                            <w:rPr>
                              <w:rFonts w:hint="default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506" o:spid="_x0000_s1026" o:spt="202" type="#_x0000_t202" style="position:absolute;left:0pt;margin-left:191.15pt;margin-top:-25.2pt;height:55.6pt;width:9.05pt;mso-position-horizontal-relative:margin;mso-wrap-style:none;z-index:251659264;mso-width-relative:page;mso-height-relative:page;" filled="f" stroked="f" coordsize="21600,21600" o:gfxdata="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WwW3O1wAAAAoBAAAPAAAAAAAAAAEAIAAAACIA&#10;AABkcnMvZG93bnJldi54bWxQSwECFAAUAAAACACHTuJA4HR0ZtEBAACTAwAADgAAAAAAAAABACAA&#10;AAAmAQAAZHJzL2Uyb0RvYy54bWxQSwUGAAAAAAYABgBZAQAAaQUAAAAA&#10;"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13"/>
                      <w:jc w:val="center"/>
                      <w:rPr>
                        <w:rFonts w:hint="default"/>
                      </w:rPr>
                    </w:pPr>
                  </w:p>
                  <w:p>
                    <w:pPr>
                      <w:pStyle w:val="13"/>
                      <w:jc w:val="center"/>
                      <w:rPr>
                        <w:rFonts w:hint="default"/>
                      </w:rPr>
                    </w:pPr>
                    <w:r>
                      <w:rPr>
                        <w:rFonts w:hint="default"/>
                      </w:rPr>
                      <w:fldChar w:fldCharType="begin"/>
                    </w:r>
                    <w:r>
                      <w:instrText xml:space="preserve"> PAGE </w:instrText>
                    </w:r>
                    <w:r>
                      <w:rPr>
                        <w:rFonts w:hint="default"/>
                      </w:rPr>
                      <w:fldChar w:fldCharType="separate"/>
                    </w:r>
                    <w:r>
                      <w:rPr>
                        <w:rFonts w:hint="default"/>
                      </w:rPr>
                      <w:t>1</w:t>
                    </w:r>
                    <w:r>
                      <w:rPr>
                        <w:rFonts w:hint="defaul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wordWrap w:val="0"/>
      <w:jc w:val="right"/>
      <w:rPr>
        <w:rFonts w:hint="defaul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="宋体"/>
        <w:lang w:eastAsia="zh-CN"/>
      </w:rPr>
    </w:pPr>
    <w:r>
      <w:t>福建广电网络</w:t>
    </w:r>
    <w:r>
      <w:rPr>
        <w:rFonts w:hint="eastAsia"/>
        <w:lang w:eastAsia="zh-CN"/>
      </w:rPr>
      <w:t>实业发展有限公司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50AE2"/>
    <w:multiLevelType w:val="singleLevel"/>
    <w:tmpl w:val="0A250AE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F811D52"/>
    <w:multiLevelType w:val="multilevel"/>
    <w:tmpl w:val="2F811D52"/>
    <w:lvl w:ilvl="0" w:tentative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1410"/>
        </w:tabs>
        <w:ind w:left="1410" w:hanging="990"/>
      </w:pPr>
      <w:rPr>
        <w:rFonts w:ascii="Times New Roman" w:hAnsi="Times New Roman" w:eastAsia="宋体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DCD79B5"/>
    <w:multiLevelType w:val="multilevel"/>
    <w:tmpl w:val="4DCD79B5"/>
    <w:lvl w:ilvl="0" w:tentative="0">
      <w:start w:val="1"/>
      <w:numFmt w:val="japaneseCounting"/>
      <w:lvlText w:val="第%1节"/>
      <w:lvlJc w:val="left"/>
      <w:pPr>
        <w:tabs>
          <w:tab w:val="left" w:pos="975"/>
        </w:tabs>
        <w:ind w:left="975" w:hanging="975"/>
      </w:pPr>
      <w:rPr>
        <w:rFonts w:hint="eastAsia"/>
        <w:lang w:val="en-US"/>
      </w:rPr>
    </w:lvl>
    <w:lvl w:ilvl="1" w:tentative="0">
      <w:start w:val="1"/>
      <w:numFmt w:val="japaneseCounting"/>
      <w:lvlText w:val="第%2节"/>
      <w:lvlJc w:val="left"/>
      <w:pPr>
        <w:tabs>
          <w:tab w:val="left" w:pos="1380"/>
        </w:tabs>
        <w:ind w:left="1380" w:hanging="9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13409CC"/>
    <w:multiLevelType w:val="multilevel"/>
    <w:tmpl w:val="513409CC"/>
    <w:lvl w:ilvl="0" w:tentative="0">
      <w:start w:val="1"/>
      <w:numFmt w:val="japaneseCounting"/>
      <w:lvlText w:val="第%1节"/>
      <w:lvlJc w:val="left"/>
      <w:pPr>
        <w:tabs>
          <w:tab w:val="left" w:pos="1125"/>
        </w:tabs>
        <w:ind w:left="1125" w:hanging="1125"/>
      </w:pPr>
      <w:rPr>
        <w:rFonts w:hint="eastAsia"/>
      </w:rPr>
    </w:lvl>
    <w:lvl w:ilvl="1" w:tentative="0">
      <w:start w:val="1"/>
      <w:numFmt w:val="japaneseCounting"/>
      <w:lvlText w:val="第%2章"/>
      <w:lvlJc w:val="left"/>
      <w:pPr>
        <w:tabs>
          <w:tab w:val="left" w:pos="1530"/>
        </w:tabs>
        <w:ind w:left="1530" w:hanging="111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D10"/>
    <w:rsid w:val="00023E53"/>
    <w:rsid w:val="000249EE"/>
    <w:rsid w:val="00025394"/>
    <w:rsid w:val="0004229E"/>
    <w:rsid w:val="00055386"/>
    <w:rsid w:val="00090C62"/>
    <w:rsid w:val="000B6B90"/>
    <w:rsid w:val="000C0F28"/>
    <w:rsid w:val="000C107D"/>
    <w:rsid w:val="000D7770"/>
    <w:rsid w:val="000E5283"/>
    <w:rsid w:val="000F1D68"/>
    <w:rsid w:val="00101151"/>
    <w:rsid w:val="00135F40"/>
    <w:rsid w:val="0014767C"/>
    <w:rsid w:val="001557EF"/>
    <w:rsid w:val="00177719"/>
    <w:rsid w:val="00181CD6"/>
    <w:rsid w:val="00182443"/>
    <w:rsid w:val="001824FC"/>
    <w:rsid w:val="00192270"/>
    <w:rsid w:val="001946C2"/>
    <w:rsid w:val="001951CF"/>
    <w:rsid w:val="00196A71"/>
    <w:rsid w:val="001A283D"/>
    <w:rsid w:val="001B61FA"/>
    <w:rsid w:val="001B6532"/>
    <w:rsid w:val="001C72EB"/>
    <w:rsid w:val="001D0AC8"/>
    <w:rsid w:val="001D21A3"/>
    <w:rsid w:val="001E5BB6"/>
    <w:rsid w:val="001F2811"/>
    <w:rsid w:val="001F3C71"/>
    <w:rsid w:val="001F5959"/>
    <w:rsid w:val="00202820"/>
    <w:rsid w:val="00205ADF"/>
    <w:rsid w:val="00206225"/>
    <w:rsid w:val="00207C53"/>
    <w:rsid w:val="002127CB"/>
    <w:rsid w:val="002175B1"/>
    <w:rsid w:val="002308A4"/>
    <w:rsid w:val="002340FE"/>
    <w:rsid w:val="00234C75"/>
    <w:rsid w:val="002465C4"/>
    <w:rsid w:val="00255450"/>
    <w:rsid w:val="002615B4"/>
    <w:rsid w:val="00265374"/>
    <w:rsid w:val="0028226B"/>
    <w:rsid w:val="00287278"/>
    <w:rsid w:val="00290DB5"/>
    <w:rsid w:val="002946E2"/>
    <w:rsid w:val="00295B88"/>
    <w:rsid w:val="00297B11"/>
    <w:rsid w:val="002A2F0E"/>
    <w:rsid w:val="002B1AAF"/>
    <w:rsid w:val="002B4A1D"/>
    <w:rsid w:val="002B54D3"/>
    <w:rsid w:val="002C223A"/>
    <w:rsid w:val="002D172C"/>
    <w:rsid w:val="002D69F5"/>
    <w:rsid w:val="002E3B55"/>
    <w:rsid w:val="002F0107"/>
    <w:rsid w:val="00301C7E"/>
    <w:rsid w:val="00335A26"/>
    <w:rsid w:val="0034045B"/>
    <w:rsid w:val="00342843"/>
    <w:rsid w:val="00351D6A"/>
    <w:rsid w:val="00353319"/>
    <w:rsid w:val="003637CF"/>
    <w:rsid w:val="00365AB8"/>
    <w:rsid w:val="003807BC"/>
    <w:rsid w:val="00382E00"/>
    <w:rsid w:val="003904BA"/>
    <w:rsid w:val="00391EA5"/>
    <w:rsid w:val="003923DC"/>
    <w:rsid w:val="003A7858"/>
    <w:rsid w:val="003C39DA"/>
    <w:rsid w:val="003E0380"/>
    <w:rsid w:val="003E5153"/>
    <w:rsid w:val="003F456E"/>
    <w:rsid w:val="00406C32"/>
    <w:rsid w:val="00415E2F"/>
    <w:rsid w:val="004440A4"/>
    <w:rsid w:val="00445BD0"/>
    <w:rsid w:val="004603C2"/>
    <w:rsid w:val="00477482"/>
    <w:rsid w:val="00491408"/>
    <w:rsid w:val="0049298F"/>
    <w:rsid w:val="004965F3"/>
    <w:rsid w:val="00497C9B"/>
    <w:rsid w:val="004A3852"/>
    <w:rsid w:val="004B2690"/>
    <w:rsid w:val="004B7036"/>
    <w:rsid w:val="004C6B6B"/>
    <w:rsid w:val="004D0745"/>
    <w:rsid w:val="004E0ECE"/>
    <w:rsid w:val="004E5327"/>
    <w:rsid w:val="004F0BDA"/>
    <w:rsid w:val="005011DA"/>
    <w:rsid w:val="00505E5F"/>
    <w:rsid w:val="00516BD0"/>
    <w:rsid w:val="005179DF"/>
    <w:rsid w:val="00522951"/>
    <w:rsid w:val="00530028"/>
    <w:rsid w:val="00537E90"/>
    <w:rsid w:val="005468F7"/>
    <w:rsid w:val="005549DC"/>
    <w:rsid w:val="00555FC4"/>
    <w:rsid w:val="00571B9B"/>
    <w:rsid w:val="005735F5"/>
    <w:rsid w:val="00584477"/>
    <w:rsid w:val="005A0EE4"/>
    <w:rsid w:val="005A380A"/>
    <w:rsid w:val="005C69F5"/>
    <w:rsid w:val="005D3C1A"/>
    <w:rsid w:val="005F2143"/>
    <w:rsid w:val="005F4551"/>
    <w:rsid w:val="005F4836"/>
    <w:rsid w:val="005F64A1"/>
    <w:rsid w:val="005F728C"/>
    <w:rsid w:val="006106FE"/>
    <w:rsid w:val="00615A83"/>
    <w:rsid w:val="00623101"/>
    <w:rsid w:val="00623DFD"/>
    <w:rsid w:val="006258F2"/>
    <w:rsid w:val="00635521"/>
    <w:rsid w:val="00652E02"/>
    <w:rsid w:val="00663C86"/>
    <w:rsid w:val="006706EC"/>
    <w:rsid w:val="00674F80"/>
    <w:rsid w:val="0067638C"/>
    <w:rsid w:val="00680842"/>
    <w:rsid w:val="006A348D"/>
    <w:rsid w:val="006A40DA"/>
    <w:rsid w:val="006A54EA"/>
    <w:rsid w:val="006B6FC2"/>
    <w:rsid w:val="006C0215"/>
    <w:rsid w:val="006C0666"/>
    <w:rsid w:val="006C157E"/>
    <w:rsid w:val="006C5868"/>
    <w:rsid w:val="006C598D"/>
    <w:rsid w:val="006C758C"/>
    <w:rsid w:val="006D6CA4"/>
    <w:rsid w:val="006E478D"/>
    <w:rsid w:val="006F14F6"/>
    <w:rsid w:val="006F1C44"/>
    <w:rsid w:val="006F6A96"/>
    <w:rsid w:val="007036C5"/>
    <w:rsid w:val="007273FC"/>
    <w:rsid w:val="00731916"/>
    <w:rsid w:val="00731F66"/>
    <w:rsid w:val="00734EED"/>
    <w:rsid w:val="00737881"/>
    <w:rsid w:val="00744856"/>
    <w:rsid w:val="00750F3A"/>
    <w:rsid w:val="007807CD"/>
    <w:rsid w:val="007926DB"/>
    <w:rsid w:val="007935D8"/>
    <w:rsid w:val="00794278"/>
    <w:rsid w:val="007A1ACC"/>
    <w:rsid w:val="007A7245"/>
    <w:rsid w:val="007B621F"/>
    <w:rsid w:val="007B712D"/>
    <w:rsid w:val="007C2F09"/>
    <w:rsid w:val="007D1557"/>
    <w:rsid w:val="007D1831"/>
    <w:rsid w:val="007D4E90"/>
    <w:rsid w:val="007E3766"/>
    <w:rsid w:val="007F2A53"/>
    <w:rsid w:val="00803D5B"/>
    <w:rsid w:val="0081226B"/>
    <w:rsid w:val="008149F0"/>
    <w:rsid w:val="00821F86"/>
    <w:rsid w:val="008344A5"/>
    <w:rsid w:val="0084201E"/>
    <w:rsid w:val="00843814"/>
    <w:rsid w:val="0084586A"/>
    <w:rsid w:val="0085067B"/>
    <w:rsid w:val="00851615"/>
    <w:rsid w:val="00861010"/>
    <w:rsid w:val="00861BA4"/>
    <w:rsid w:val="00863FBE"/>
    <w:rsid w:val="00871289"/>
    <w:rsid w:val="0087577E"/>
    <w:rsid w:val="00876411"/>
    <w:rsid w:val="00881E7E"/>
    <w:rsid w:val="00882058"/>
    <w:rsid w:val="00896C40"/>
    <w:rsid w:val="008A6044"/>
    <w:rsid w:val="008C360F"/>
    <w:rsid w:val="008F0267"/>
    <w:rsid w:val="0090212F"/>
    <w:rsid w:val="009043A5"/>
    <w:rsid w:val="00922E9A"/>
    <w:rsid w:val="00925291"/>
    <w:rsid w:val="00947EAF"/>
    <w:rsid w:val="009613E4"/>
    <w:rsid w:val="00963A44"/>
    <w:rsid w:val="00971594"/>
    <w:rsid w:val="0097363D"/>
    <w:rsid w:val="0098640E"/>
    <w:rsid w:val="0098697E"/>
    <w:rsid w:val="009872F2"/>
    <w:rsid w:val="00992B20"/>
    <w:rsid w:val="009A3053"/>
    <w:rsid w:val="009B2686"/>
    <w:rsid w:val="009B763E"/>
    <w:rsid w:val="009C5767"/>
    <w:rsid w:val="009D636B"/>
    <w:rsid w:val="009E085E"/>
    <w:rsid w:val="009E0B61"/>
    <w:rsid w:val="009E2DCD"/>
    <w:rsid w:val="009E5CF5"/>
    <w:rsid w:val="009F649A"/>
    <w:rsid w:val="00A01AEF"/>
    <w:rsid w:val="00A0662E"/>
    <w:rsid w:val="00A2652C"/>
    <w:rsid w:val="00A41872"/>
    <w:rsid w:val="00A41E98"/>
    <w:rsid w:val="00A45229"/>
    <w:rsid w:val="00A61122"/>
    <w:rsid w:val="00A62FCE"/>
    <w:rsid w:val="00A64374"/>
    <w:rsid w:val="00A64B04"/>
    <w:rsid w:val="00A66EB0"/>
    <w:rsid w:val="00A7147D"/>
    <w:rsid w:val="00AA3787"/>
    <w:rsid w:val="00AB1A65"/>
    <w:rsid w:val="00AB7EC5"/>
    <w:rsid w:val="00AC61FE"/>
    <w:rsid w:val="00AE10ED"/>
    <w:rsid w:val="00AF2980"/>
    <w:rsid w:val="00AF3C83"/>
    <w:rsid w:val="00AF6C73"/>
    <w:rsid w:val="00B04123"/>
    <w:rsid w:val="00B058B3"/>
    <w:rsid w:val="00B13ED4"/>
    <w:rsid w:val="00B149E0"/>
    <w:rsid w:val="00B21BBB"/>
    <w:rsid w:val="00B36788"/>
    <w:rsid w:val="00B37445"/>
    <w:rsid w:val="00B41E62"/>
    <w:rsid w:val="00B50ECD"/>
    <w:rsid w:val="00B54F9E"/>
    <w:rsid w:val="00B578C9"/>
    <w:rsid w:val="00B64A8D"/>
    <w:rsid w:val="00B85753"/>
    <w:rsid w:val="00B87D83"/>
    <w:rsid w:val="00B90F0B"/>
    <w:rsid w:val="00B914C2"/>
    <w:rsid w:val="00BA0453"/>
    <w:rsid w:val="00BD0ABA"/>
    <w:rsid w:val="00BD3E38"/>
    <w:rsid w:val="00BD3F96"/>
    <w:rsid w:val="00BE4824"/>
    <w:rsid w:val="00BE540B"/>
    <w:rsid w:val="00BE590B"/>
    <w:rsid w:val="00BF0E86"/>
    <w:rsid w:val="00C06F77"/>
    <w:rsid w:val="00C10D2C"/>
    <w:rsid w:val="00C152B9"/>
    <w:rsid w:val="00C27CF7"/>
    <w:rsid w:val="00C3424D"/>
    <w:rsid w:val="00C363B8"/>
    <w:rsid w:val="00C531D7"/>
    <w:rsid w:val="00C708F3"/>
    <w:rsid w:val="00C71164"/>
    <w:rsid w:val="00C72233"/>
    <w:rsid w:val="00C76230"/>
    <w:rsid w:val="00C8186A"/>
    <w:rsid w:val="00C820D7"/>
    <w:rsid w:val="00CA0C57"/>
    <w:rsid w:val="00CA71F3"/>
    <w:rsid w:val="00CB5A14"/>
    <w:rsid w:val="00CC4C58"/>
    <w:rsid w:val="00CD6493"/>
    <w:rsid w:val="00CF171E"/>
    <w:rsid w:val="00CF6161"/>
    <w:rsid w:val="00D00A22"/>
    <w:rsid w:val="00D060FD"/>
    <w:rsid w:val="00D10765"/>
    <w:rsid w:val="00D14D8D"/>
    <w:rsid w:val="00D211E3"/>
    <w:rsid w:val="00D26587"/>
    <w:rsid w:val="00D4100C"/>
    <w:rsid w:val="00D429C0"/>
    <w:rsid w:val="00D44E35"/>
    <w:rsid w:val="00D572D2"/>
    <w:rsid w:val="00D6214A"/>
    <w:rsid w:val="00D640E7"/>
    <w:rsid w:val="00D6767B"/>
    <w:rsid w:val="00D73C51"/>
    <w:rsid w:val="00D779F3"/>
    <w:rsid w:val="00D91755"/>
    <w:rsid w:val="00D92384"/>
    <w:rsid w:val="00D96029"/>
    <w:rsid w:val="00DA1986"/>
    <w:rsid w:val="00DA4EB5"/>
    <w:rsid w:val="00DC08D7"/>
    <w:rsid w:val="00DD1CDF"/>
    <w:rsid w:val="00DD53B2"/>
    <w:rsid w:val="00DD5B14"/>
    <w:rsid w:val="00DE1628"/>
    <w:rsid w:val="00DE186F"/>
    <w:rsid w:val="00E15AC6"/>
    <w:rsid w:val="00E21700"/>
    <w:rsid w:val="00E33022"/>
    <w:rsid w:val="00E33B03"/>
    <w:rsid w:val="00E54014"/>
    <w:rsid w:val="00E64C9C"/>
    <w:rsid w:val="00E748AE"/>
    <w:rsid w:val="00E75A2E"/>
    <w:rsid w:val="00E8091A"/>
    <w:rsid w:val="00E846F6"/>
    <w:rsid w:val="00E9495E"/>
    <w:rsid w:val="00E95A51"/>
    <w:rsid w:val="00E95FA6"/>
    <w:rsid w:val="00EA284F"/>
    <w:rsid w:val="00EB2B9D"/>
    <w:rsid w:val="00EC31EB"/>
    <w:rsid w:val="00EC4546"/>
    <w:rsid w:val="00EC7FA3"/>
    <w:rsid w:val="00ED5B59"/>
    <w:rsid w:val="00EE0046"/>
    <w:rsid w:val="00EE5171"/>
    <w:rsid w:val="00EF2D5C"/>
    <w:rsid w:val="00F10FBF"/>
    <w:rsid w:val="00F12502"/>
    <w:rsid w:val="00F12C7C"/>
    <w:rsid w:val="00F16904"/>
    <w:rsid w:val="00F20E9F"/>
    <w:rsid w:val="00F21B87"/>
    <w:rsid w:val="00F23D6E"/>
    <w:rsid w:val="00F31222"/>
    <w:rsid w:val="00F366F6"/>
    <w:rsid w:val="00F377BB"/>
    <w:rsid w:val="00F44BF2"/>
    <w:rsid w:val="00F47A25"/>
    <w:rsid w:val="00F55B96"/>
    <w:rsid w:val="00F61E81"/>
    <w:rsid w:val="00F63395"/>
    <w:rsid w:val="00F800E0"/>
    <w:rsid w:val="00F8223C"/>
    <w:rsid w:val="00FB50F0"/>
    <w:rsid w:val="00FB7F69"/>
    <w:rsid w:val="00FC2591"/>
    <w:rsid w:val="00FC2BB3"/>
    <w:rsid w:val="00FC5D63"/>
    <w:rsid w:val="00FC6505"/>
    <w:rsid w:val="00FC6FB5"/>
    <w:rsid w:val="00FD5CC0"/>
    <w:rsid w:val="00FD7C30"/>
    <w:rsid w:val="00FE0DEE"/>
    <w:rsid w:val="00FE6175"/>
    <w:rsid w:val="00FF66C1"/>
    <w:rsid w:val="00FF70B6"/>
    <w:rsid w:val="0154110D"/>
    <w:rsid w:val="05051DE7"/>
    <w:rsid w:val="06377F37"/>
    <w:rsid w:val="066E3EB7"/>
    <w:rsid w:val="072C6515"/>
    <w:rsid w:val="09D34AA7"/>
    <w:rsid w:val="09DE5374"/>
    <w:rsid w:val="0A3604C1"/>
    <w:rsid w:val="0A73767C"/>
    <w:rsid w:val="0AEF6C41"/>
    <w:rsid w:val="0BBC1A8D"/>
    <w:rsid w:val="0BDC6B84"/>
    <w:rsid w:val="0C93116E"/>
    <w:rsid w:val="0D7579B6"/>
    <w:rsid w:val="0DC476FA"/>
    <w:rsid w:val="128B4900"/>
    <w:rsid w:val="12FA44C3"/>
    <w:rsid w:val="14CE687E"/>
    <w:rsid w:val="15747D24"/>
    <w:rsid w:val="173715FC"/>
    <w:rsid w:val="176937F7"/>
    <w:rsid w:val="1B0F753E"/>
    <w:rsid w:val="1B69771C"/>
    <w:rsid w:val="20FB3476"/>
    <w:rsid w:val="20FE0D68"/>
    <w:rsid w:val="213F2172"/>
    <w:rsid w:val="2171636C"/>
    <w:rsid w:val="229F56EE"/>
    <w:rsid w:val="23A9534B"/>
    <w:rsid w:val="23AC4B97"/>
    <w:rsid w:val="26B31297"/>
    <w:rsid w:val="2785300F"/>
    <w:rsid w:val="2829693E"/>
    <w:rsid w:val="287907E2"/>
    <w:rsid w:val="28900B51"/>
    <w:rsid w:val="29287704"/>
    <w:rsid w:val="29F079B2"/>
    <w:rsid w:val="2B877BE5"/>
    <w:rsid w:val="2BB34221"/>
    <w:rsid w:val="2C9D2EC0"/>
    <w:rsid w:val="2D562701"/>
    <w:rsid w:val="2DC96C74"/>
    <w:rsid w:val="30C30BBD"/>
    <w:rsid w:val="32AC3EF8"/>
    <w:rsid w:val="32DC119F"/>
    <w:rsid w:val="34DA6848"/>
    <w:rsid w:val="356576A4"/>
    <w:rsid w:val="35BE5A30"/>
    <w:rsid w:val="37965653"/>
    <w:rsid w:val="387533B6"/>
    <w:rsid w:val="38DC23B7"/>
    <w:rsid w:val="39A03495"/>
    <w:rsid w:val="3C1B6D38"/>
    <w:rsid w:val="3C8F559A"/>
    <w:rsid w:val="3DD71ED4"/>
    <w:rsid w:val="3E6166C3"/>
    <w:rsid w:val="3E780464"/>
    <w:rsid w:val="3ECF3A34"/>
    <w:rsid w:val="4121334E"/>
    <w:rsid w:val="43A65FFD"/>
    <w:rsid w:val="43B1325E"/>
    <w:rsid w:val="45901406"/>
    <w:rsid w:val="45BD625F"/>
    <w:rsid w:val="45EB0327"/>
    <w:rsid w:val="465227E7"/>
    <w:rsid w:val="475C227D"/>
    <w:rsid w:val="47917555"/>
    <w:rsid w:val="482A031F"/>
    <w:rsid w:val="48A6274D"/>
    <w:rsid w:val="4993175F"/>
    <w:rsid w:val="49DE3603"/>
    <w:rsid w:val="49F221B7"/>
    <w:rsid w:val="4A79062C"/>
    <w:rsid w:val="4B173286"/>
    <w:rsid w:val="4C906DB1"/>
    <w:rsid w:val="4F286084"/>
    <w:rsid w:val="50CB08F0"/>
    <w:rsid w:val="51385EDC"/>
    <w:rsid w:val="528D14FE"/>
    <w:rsid w:val="55610159"/>
    <w:rsid w:val="55A72D48"/>
    <w:rsid w:val="560F1140"/>
    <w:rsid w:val="56133803"/>
    <w:rsid w:val="587F682C"/>
    <w:rsid w:val="5956007C"/>
    <w:rsid w:val="5A3C7034"/>
    <w:rsid w:val="5AA7655C"/>
    <w:rsid w:val="5BCE61C7"/>
    <w:rsid w:val="5C7A6938"/>
    <w:rsid w:val="5D065576"/>
    <w:rsid w:val="5D8908D3"/>
    <w:rsid w:val="5E0242A8"/>
    <w:rsid w:val="5EE556E7"/>
    <w:rsid w:val="5EF11980"/>
    <w:rsid w:val="5F284E78"/>
    <w:rsid w:val="5FD02C69"/>
    <w:rsid w:val="60E33276"/>
    <w:rsid w:val="61B00209"/>
    <w:rsid w:val="61FC6C54"/>
    <w:rsid w:val="646C3432"/>
    <w:rsid w:val="65581742"/>
    <w:rsid w:val="67747F73"/>
    <w:rsid w:val="679D4441"/>
    <w:rsid w:val="67DD6277"/>
    <w:rsid w:val="69D74A52"/>
    <w:rsid w:val="6AA54FC2"/>
    <w:rsid w:val="6B7E16C3"/>
    <w:rsid w:val="6BBB56F8"/>
    <w:rsid w:val="705B7276"/>
    <w:rsid w:val="743121C2"/>
    <w:rsid w:val="7479691E"/>
    <w:rsid w:val="749C2AA6"/>
    <w:rsid w:val="755C1035"/>
    <w:rsid w:val="76CE754B"/>
    <w:rsid w:val="7A192869"/>
    <w:rsid w:val="7ADB7A5B"/>
    <w:rsid w:val="7C4540CC"/>
    <w:rsid w:val="7C630661"/>
    <w:rsid w:val="7E457DB6"/>
    <w:rsid w:val="7E9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name="Body Text Indent 2"/>
    <w:lsdException w:qFormat="1" w:unhideWhenUsed="0"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60" w:lineRule="exact"/>
      <w:jc w:val="center"/>
    </w:pPr>
    <w:rPr>
      <w:rFonts w:eastAsia="黑体"/>
      <w:b/>
      <w:bCs/>
      <w:sz w:val="72"/>
    </w:rPr>
  </w:style>
  <w:style w:type="paragraph" w:styleId="3">
    <w:name w:val="Body Text Indent"/>
    <w:basedOn w:val="1"/>
    <w:semiHidden/>
    <w:qFormat/>
    <w:uiPriority w:val="0"/>
    <w:pPr>
      <w:spacing w:line="400" w:lineRule="exact"/>
      <w:ind w:firstLine="480" w:firstLineChars="200"/>
    </w:pPr>
    <w:rPr>
      <w:sz w:val="24"/>
    </w:rPr>
  </w:style>
  <w:style w:type="paragraph" w:styleId="4">
    <w:name w:val="Body Text Indent 2"/>
    <w:basedOn w:val="1"/>
    <w:semiHidden/>
    <w:qFormat/>
    <w:uiPriority w:val="0"/>
    <w:pPr>
      <w:ind w:firstLine="360" w:firstLineChars="150"/>
    </w:pPr>
    <w:rPr>
      <w:sz w:val="24"/>
    </w:rPr>
  </w:style>
  <w:style w:type="paragraph" w:styleId="5">
    <w:name w:val="footer"/>
    <w:basedOn w:val="1"/>
    <w:link w:val="5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semiHidden/>
    <w:qFormat/>
    <w:uiPriority w:val="0"/>
    <w:pPr>
      <w:ind w:left="-105" w:firstLine="463" w:firstLineChars="193"/>
    </w:pPr>
    <w:rPr>
      <w:rFonts w:ascii="宋体" w:hAnsi="宋体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qFormat/>
    <w:uiPriority w:val="0"/>
  </w:style>
  <w:style w:type="paragraph" w:customStyle="1" w:styleId="1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1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Cs w:val="21"/>
    </w:rPr>
  </w:style>
  <w:style w:type="paragraph" w:customStyle="1" w:styleId="1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16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1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18">
    <w:name w:val="xl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19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0">
    <w:name w:val="xl2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1">
    <w:name w:val="xl29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2">
    <w:name w:val="xl30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23">
    <w:name w:val="xl31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4">
    <w:name w:val="xl3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25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6">
    <w:name w:val="xl3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27">
    <w:name w:val="xl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28">
    <w:name w:val="xl3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Cs w:val="21"/>
    </w:rPr>
  </w:style>
  <w:style w:type="paragraph" w:customStyle="1" w:styleId="29">
    <w:name w:val="xl3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30">
    <w:name w:val="xl3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31">
    <w:name w:val="xl3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kern w:val="0"/>
      <w:szCs w:val="21"/>
    </w:rPr>
  </w:style>
  <w:style w:type="paragraph" w:customStyle="1" w:styleId="32">
    <w:name w:val="xl40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kern w:val="0"/>
      <w:szCs w:val="21"/>
    </w:rPr>
  </w:style>
  <w:style w:type="paragraph" w:customStyle="1" w:styleId="33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kern w:val="0"/>
      <w:szCs w:val="21"/>
    </w:rPr>
  </w:style>
  <w:style w:type="paragraph" w:customStyle="1" w:styleId="34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35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Cs w:val="21"/>
    </w:rPr>
  </w:style>
  <w:style w:type="paragraph" w:customStyle="1" w:styleId="36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4"/>
    </w:rPr>
  </w:style>
  <w:style w:type="paragraph" w:customStyle="1" w:styleId="37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18"/>
      <w:szCs w:val="18"/>
    </w:rPr>
  </w:style>
  <w:style w:type="paragraph" w:customStyle="1" w:styleId="38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0"/>
      <w:szCs w:val="20"/>
    </w:rPr>
  </w:style>
  <w:style w:type="paragraph" w:customStyle="1" w:styleId="39">
    <w:name w:val="xl4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40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41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 w:val="20"/>
      <w:szCs w:val="20"/>
    </w:rPr>
  </w:style>
  <w:style w:type="paragraph" w:customStyle="1" w:styleId="42">
    <w:name w:val="xl5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43">
    <w:name w:val="xl5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44">
    <w:name w:val="xl5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kern w:val="0"/>
      <w:sz w:val="20"/>
      <w:szCs w:val="20"/>
    </w:rPr>
  </w:style>
  <w:style w:type="paragraph" w:customStyle="1" w:styleId="45">
    <w:name w:val="xl5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top"/>
    </w:pPr>
    <w:rPr>
      <w:kern w:val="0"/>
      <w:sz w:val="20"/>
      <w:szCs w:val="20"/>
    </w:rPr>
  </w:style>
  <w:style w:type="paragraph" w:customStyle="1" w:styleId="46">
    <w:name w:val="xl54"/>
    <w:basedOn w:val="1"/>
    <w:qFormat/>
    <w:uiPriority w:val="0"/>
    <w:pPr>
      <w:widowControl/>
      <w:spacing w:before="100" w:beforeAutospacing="1" w:after="100" w:afterAutospacing="1"/>
      <w:textAlignment w:val="top"/>
    </w:pPr>
    <w:rPr>
      <w:rFonts w:ascii="宋体" w:hAnsi="宋体"/>
      <w:kern w:val="0"/>
      <w:szCs w:val="21"/>
    </w:rPr>
  </w:style>
  <w:style w:type="paragraph" w:customStyle="1" w:styleId="47">
    <w:name w:val="列出段落1"/>
    <w:basedOn w:val="1"/>
    <w:qFormat/>
    <w:uiPriority w:val="34"/>
    <w:pPr>
      <w:ind w:firstLine="420" w:firstLineChars="200"/>
    </w:pPr>
  </w:style>
  <w:style w:type="character" w:customStyle="1" w:styleId="48">
    <w:name w:val="font2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9">
    <w:name w:val="font0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perscript"/>
    </w:rPr>
  </w:style>
  <w:style w:type="character" w:customStyle="1" w:styleId="50">
    <w:name w:val="font1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1">
    <w:name w:val="font5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2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3">
    <w:name w:val="font3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4">
    <w:name w:val="页脚 Char"/>
    <w:basedOn w:val="10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34D2BD-1DC9-4CC8-AE22-7176D477A8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sgdw</Company>
  <Pages>11</Pages>
  <Words>5036</Words>
  <Characters>5800</Characters>
  <Lines>42</Lines>
  <Paragraphs>12</Paragraphs>
  <TotalTime>3</TotalTime>
  <ScaleCrop>false</ScaleCrop>
  <LinksUpToDate>false</LinksUpToDate>
  <CharactersWithSpaces>5863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2016-03-01T07:33:00Z</dcterms:created>
  <dc:creator>jsb</dc:creator>
  <cp:lastModifiedBy>文思</cp:lastModifiedBy>
  <cp:lastPrinted>2005-06-30T03:21:00Z</cp:lastPrinted>
  <dcterms:modified xsi:type="dcterms:W3CDTF">2021-04-29T07:31:48Z</dcterms:modified>
  <dc:title>第一章 总体设计要求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F017AF46757942CA9117A36DEC438AA3</vt:lpwstr>
  </property>
</Properties>
</file>